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487D0" w14:textId="77777777" w:rsidR="0036289D" w:rsidRPr="005A24C9" w:rsidRDefault="005A24C9" w:rsidP="00652769">
      <w:pPr>
        <w:pStyle w:val="Author"/>
        <w:tabs>
          <w:tab w:val="right" w:pos="8640"/>
        </w:tabs>
        <w:rPr>
          <w:rStyle w:val="CaseNumberChar"/>
          <w:b w:val="0"/>
          <w:smallCaps w:val="0"/>
          <w:sz w:val="16"/>
          <w:szCs w:val="16"/>
        </w:rPr>
      </w:pPr>
      <w:r>
        <w:rPr>
          <w:noProof/>
        </w:rPr>
        <w:drawing>
          <wp:anchor distT="0" distB="0" distL="114300" distR="114300" simplePos="0" relativeHeight="251661312" behindDoc="1" locked="0" layoutInCell="1" allowOverlap="1" wp14:anchorId="16C47ED2" wp14:editId="0B41F1C5">
            <wp:simplePos x="0" y="0"/>
            <wp:positionH relativeFrom="column">
              <wp:posOffset>-53975</wp:posOffset>
            </wp:positionH>
            <wp:positionV relativeFrom="paragraph">
              <wp:posOffset>307340</wp:posOffset>
            </wp:positionV>
            <wp:extent cx="2270760" cy="368935"/>
            <wp:effectExtent l="0" t="0" r="0" b="0"/>
            <wp:wrapNone/>
            <wp:docPr id="5" name="Picture 3" descr="G:\Deansoff\CASEDEV\Case Project\Graphics and Style\Templates\Template Redesign\teaching no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Deansoff\CASEDEV\Case Project\Graphics and Style\Templates\Template Redesign\teaching not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0760" cy="368935"/>
                    </a:xfrm>
                    <a:prstGeom prst="rect">
                      <a:avLst/>
                    </a:prstGeom>
                    <a:noFill/>
                    <a:ln>
                      <a:noFill/>
                    </a:ln>
                  </pic:spPr>
                </pic:pic>
              </a:graphicData>
            </a:graphic>
            <wp14:sizeRelH relativeFrom="page">
              <wp14:pctWidth>0</wp14:pctWidth>
            </wp14:sizeRelH>
            <wp14:sizeRelV relativeFrom="page">
              <wp14:pctHeight>0</wp14:pctHeight>
            </wp14:sizeRelV>
          </wp:anchor>
        </w:drawing>
      </w:r>
      <w:r w:rsidR="00FA4D0D" w:rsidRPr="00FA4D0D">
        <w:rPr>
          <w:noProof/>
        </w:rPr>
        <w:t>SUNIL CHOPRA</w:t>
      </w:r>
      <w:r w:rsidR="00652769">
        <w:tab/>
      </w:r>
      <w:r w:rsidR="00652769" w:rsidRPr="00652769">
        <w:rPr>
          <w:rStyle w:val="CaseNumberChar"/>
        </w:rPr>
        <w:t>5-</w:t>
      </w:r>
      <w:r w:rsidR="00FA4D0D">
        <w:rPr>
          <w:rStyle w:val="CaseNumberChar"/>
        </w:rPr>
        <w:t>112</w:t>
      </w:r>
      <w:r w:rsidR="00652769" w:rsidRPr="00652769">
        <w:rPr>
          <w:rStyle w:val="CaseNumberChar"/>
        </w:rPr>
        <w:t>-</w:t>
      </w:r>
      <w:r w:rsidR="00FA4D0D">
        <w:rPr>
          <w:rStyle w:val="CaseNumberChar"/>
        </w:rPr>
        <w:t>003</w:t>
      </w:r>
      <w:r w:rsidR="00DF75B5">
        <w:rPr>
          <w:rStyle w:val="CaseNumberChar"/>
        </w:rPr>
        <w:t>TN</w:t>
      </w:r>
    </w:p>
    <w:p w14:paraId="193B1AD2" w14:textId="77777777" w:rsidR="0036289D" w:rsidRDefault="00FA4D0D">
      <w:pPr>
        <w:pStyle w:val="CaseTitle"/>
      </w:pPr>
      <w:r w:rsidRPr="00FA4D0D">
        <w:t>Polaris Industries Inc.</w:t>
      </w:r>
    </w:p>
    <w:p w14:paraId="0B809F1E" w14:textId="77777777" w:rsidR="00FA4D0D" w:rsidRDefault="00FA4D0D" w:rsidP="00FA4D0D">
      <w:pPr>
        <w:pStyle w:val="Heading2"/>
      </w:pPr>
      <w:r>
        <w:t>Case Synopsis</w:t>
      </w:r>
    </w:p>
    <w:p w14:paraId="6064F78C" w14:textId="77777777" w:rsidR="00FA4D0D" w:rsidRDefault="00BB5B62" w:rsidP="00FA4D0D">
      <w:r>
        <w:t xml:space="preserve">In September 2010 Suresh Krishna, vice president of operations and integration </w:t>
      </w:r>
      <w:r w:rsidR="00FA4D0D">
        <w:t>at Polaris Industries Inc., a manufacturer of all-terrain vehicles, Side-by-Sides, and snowmobiles, needed to recommend a location for a new plant to manufacture the company’s Side-by-Side vehicles.</w:t>
      </w:r>
    </w:p>
    <w:p w14:paraId="1C7991CD" w14:textId="77777777" w:rsidR="00C13852" w:rsidRDefault="00FA4D0D" w:rsidP="00FA4D0D">
      <w:r>
        <w:t xml:space="preserve">The economic slowdown in the United States had put considerable pressure on Polaris’s profits, so the company was considering whether it should follow the lead of other manufacturers and open a facility in a country with lower labor costs. China and Mexico were shortlisted as possible locations for the new factory, which would be the first Polaris manufacturing facility located outside the Midwestern United States. By the end of the year </w:t>
      </w:r>
      <w:r w:rsidR="00E95EF4">
        <w:t xml:space="preserve">Krishna </w:t>
      </w:r>
      <w:r>
        <w:t xml:space="preserve">needed to recommend to the </w:t>
      </w:r>
      <w:r w:rsidR="007A2D05">
        <w:t>b</w:t>
      </w:r>
      <w:r>
        <w:t>oard whether Polaris should build a new plant abroad (near</w:t>
      </w:r>
      <w:r w:rsidR="007A2D05">
        <w:t>-</w:t>
      </w:r>
      <w:r>
        <w:t>shored in Mexico or off</w:t>
      </w:r>
      <w:r w:rsidR="007A2D05">
        <w:t>-</w:t>
      </w:r>
      <w:r>
        <w:t>shored in China) or continue to manufacture in its American facilities.</w:t>
      </w:r>
    </w:p>
    <w:p w14:paraId="7EDB1413" w14:textId="77777777" w:rsidR="00FA4D0D" w:rsidRDefault="00FA4D0D" w:rsidP="00FA4D0D">
      <w:pPr>
        <w:pStyle w:val="Heading2"/>
      </w:pPr>
      <w:r>
        <w:t>Learning Objectives</w:t>
      </w:r>
    </w:p>
    <w:p w14:paraId="359E1C5B" w14:textId="77777777" w:rsidR="00FA4D0D" w:rsidRDefault="00FA4D0D" w:rsidP="00FA4D0D">
      <w:r>
        <w:t>After analyzing and discussing the case, students should be able to:</w:t>
      </w:r>
    </w:p>
    <w:p w14:paraId="0DB2A7DA" w14:textId="77777777" w:rsidR="00FA4D0D" w:rsidRDefault="00FA4D0D" w:rsidP="00FA4D0D">
      <w:pPr>
        <w:pStyle w:val="BulletPoints"/>
      </w:pPr>
      <w:r>
        <w:t>Evaluate tradeoffs between different geographic locations when establishing a manufacturing facility (off</w:t>
      </w:r>
      <w:r w:rsidR="003C7A8F">
        <w:t>-</w:t>
      </w:r>
      <w:r>
        <w:t>shoring, near</w:t>
      </w:r>
      <w:r w:rsidR="003C7A8F">
        <w:t>-</w:t>
      </w:r>
      <w:r>
        <w:t>shoring, and on</w:t>
      </w:r>
      <w:r w:rsidR="003C7A8F">
        <w:t>-</w:t>
      </w:r>
      <w:r>
        <w:t>shoring)</w:t>
      </w:r>
    </w:p>
    <w:p w14:paraId="19DE130A" w14:textId="77777777" w:rsidR="00FA4D0D" w:rsidRDefault="00FA4D0D" w:rsidP="00FA4D0D">
      <w:pPr>
        <w:pStyle w:val="BulletPoints"/>
      </w:pPr>
      <w:r>
        <w:t>Run a sensitivity analysis on total cost</w:t>
      </w:r>
    </w:p>
    <w:p w14:paraId="778D2CFD" w14:textId="77777777" w:rsidR="00FA4D0D" w:rsidRDefault="00FA4D0D" w:rsidP="00FA4D0D">
      <w:pPr>
        <w:pStyle w:val="BulletPoints"/>
      </w:pPr>
      <w:r>
        <w:t>Assess the impact of transportation costs, exchange rates, labor cost rates, lead times</w:t>
      </w:r>
      <w:r w:rsidR="003C7A8F">
        <w:t>,</w:t>
      </w:r>
      <w:r>
        <w:t xml:space="preserve"> and other assumptions on total costs</w:t>
      </w:r>
    </w:p>
    <w:p w14:paraId="7E03D540" w14:textId="77777777" w:rsidR="00C15ED6" w:rsidRDefault="00FA4D0D" w:rsidP="00FA4D0D">
      <w:pPr>
        <w:pStyle w:val="BulletPoints"/>
        <w:spacing w:after="240"/>
      </w:pPr>
      <w:r>
        <w:t>Identify qualitative factors to be considered when deciding between non-U</w:t>
      </w:r>
      <w:r w:rsidR="0064121C">
        <w:t>.</w:t>
      </w:r>
      <w:r>
        <w:t>S</w:t>
      </w:r>
      <w:r w:rsidR="0064121C">
        <w:t>.</w:t>
      </w:r>
      <w:r>
        <w:t xml:space="preserve"> facility locations, including transportation time variability, consumer perceptions, and cultural differences</w:t>
      </w:r>
    </w:p>
    <w:p w14:paraId="7418F574" w14:textId="77777777" w:rsidR="00FA4D0D" w:rsidRDefault="00FA4D0D" w:rsidP="00FA4D0D">
      <w:pPr>
        <w:pStyle w:val="Heading2"/>
      </w:pPr>
      <w:r>
        <w:t>Suggested Uses</w:t>
      </w:r>
    </w:p>
    <w:p w14:paraId="7C8D510F" w14:textId="77777777" w:rsidR="00C15ED6" w:rsidRDefault="00FA4D0D" w:rsidP="00FA4D0D">
      <w:r>
        <w:t>The case is appropriate for undergraduate, graduate, and executive education students. It will be effective in operations management or supply chain management courses that discuss sourcing.</w:t>
      </w:r>
    </w:p>
    <w:p w14:paraId="546B9845" w14:textId="77777777" w:rsidR="00FA4D0D" w:rsidRDefault="00FA4D0D" w:rsidP="00FA4D0D">
      <w:pPr>
        <w:pStyle w:val="Heading2"/>
      </w:pPr>
      <w:r>
        <w:lastRenderedPageBreak/>
        <w:t>Discussion Questions/Student Assignment</w:t>
      </w:r>
    </w:p>
    <w:p w14:paraId="3EBD7797" w14:textId="77777777" w:rsidR="00FA4D0D" w:rsidRDefault="00FA4D0D" w:rsidP="00FA4D0D">
      <w:pPr>
        <w:pStyle w:val="Numbering"/>
      </w:pPr>
      <w:r>
        <w:t>Why does Polaris outsource the manufacture of most components but in-source final assembly?</w:t>
      </w:r>
    </w:p>
    <w:p w14:paraId="05A1C49C" w14:textId="77777777" w:rsidR="00FA4D0D" w:rsidRDefault="00FA4D0D" w:rsidP="00FA4D0D">
      <w:pPr>
        <w:pStyle w:val="Numbering"/>
      </w:pPr>
      <w:r>
        <w:t xml:space="preserve">Which manufacturing location provides Polaris with </w:t>
      </w:r>
      <w:r w:rsidR="00736FA5">
        <w:t xml:space="preserve">the </w:t>
      </w:r>
      <w:r>
        <w:t>greatest cost savings?</w:t>
      </w:r>
    </w:p>
    <w:p w14:paraId="2A00459A" w14:textId="77777777" w:rsidR="00FA4D0D" w:rsidRDefault="00FA4D0D" w:rsidP="00FA4D0D">
      <w:pPr>
        <w:pStyle w:val="Numbering"/>
      </w:pPr>
      <w:r>
        <w:t>Would your recommendation change if foreign exchange rates increase</w:t>
      </w:r>
      <w:r w:rsidR="00736FA5">
        <w:t>d</w:t>
      </w:r>
      <w:r>
        <w:t xml:space="preserve"> or decrease</w:t>
      </w:r>
      <w:r w:rsidR="00736FA5">
        <w:t>d</w:t>
      </w:r>
      <w:r>
        <w:t xml:space="preserve"> by 15</w:t>
      </w:r>
      <w:r w:rsidR="0064121C">
        <w:t xml:space="preserve"> percent</w:t>
      </w:r>
      <w:r>
        <w:t>?</w:t>
      </w:r>
    </w:p>
    <w:p w14:paraId="677AEFDF" w14:textId="77777777" w:rsidR="00FA4D0D" w:rsidRDefault="00FA4D0D" w:rsidP="00FA4D0D">
      <w:pPr>
        <w:pStyle w:val="Numbering"/>
      </w:pPr>
      <w:r>
        <w:t>Assuming all else is constant</w:t>
      </w:r>
      <w:r w:rsidR="00736FA5">
        <w:t>,</w:t>
      </w:r>
      <w:r>
        <w:t xml:space="preserve"> would your recommendation change if labor rates in Mexico increased by 20</w:t>
      </w:r>
      <w:r w:rsidR="0064121C">
        <w:t xml:space="preserve"> percent</w:t>
      </w:r>
      <w:r>
        <w:t xml:space="preserve"> annually instead of 6</w:t>
      </w:r>
      <w:r w:rsidR="0064121C">
        <w:t xml:space="preserve"> percent</w:t>
      </w:r>
      <w:r>
        <w:t>?</w:t>
      </w:r>
    </w:p>
    <w:p w14:paraId="7251306D" w14:textId="77777777" w:rsidR="00FA4D0D" w:rsidRDefault="00FA4D0D" w:rsidP="00FA4D0D">
      <w:pPr>
        <w:pStyle w:val="Numbering"/>
      </w:pPr>
      <w:r>
        <w:t xml:space="preserve">What other factors should Suresh </w:t>
      </w:r>
      <w:r w:rsidR="00736FA5">
        <w:t xml:space="preserve">Krishna </w:t>
      </w:r>
      <w:r>
        <w:t>and his team consider when making the manufacturing location recommendation?</w:t>
      </w:r>
    </w:p>
    <w:p w14:paraId="2FBBAD73" w14:textId="77777777" w:rsidR="00FA4D0D" w:rsidRDefault="00FA4D0D" w:rsidP="00FA4D0D">
      <w:pPr>
        <w:pStyle w:val="Heading2"/>
      </w:pPr>
      <w:r>
        <w:t>Case Analysis</w:t>
      </w:r>
    </w:p>
    <w:p w14:paraId="4DF9E553" w14:textId="77777777" w:rsidR="00FA4D0D" w:rsidRPr="00A97D63" w:rsidRDefault="00FA4D0D" w:rsidP="00A97D63">
      <w:pPr>
        <w:pStyle w:val="Heading4"/>
      </w:pPr>
      <w:r w:rsidRPr="00A97D63">
        <w:t>1.</w:t>
      </w:r>
      <w:r w:rsidR="00F169B5" w:rsidRPr="00A97D63">
        <w:t xml:space="preserve"> </w:t>
      </w:r>
      <w:r w:rsidRPr="00A97D63">
        <w:t>Why does Polaris outsource the manufacture of most components but in-source final assembly?</w:t>
      </w:r>
    </w:p>
    <w:p w14:paraId="06DF851C" w14:textId="77777777" w:rsidR="00FA4D0D" w:rsidRDefault="00FA4D0D" w:rsidP="00FA4D0D">
      <w:r>
        <w:t>The decision to outsource or in-source a particular activity depends upon a variety of factors that include the scale and uncertainty of demand for the activity and whether the resources used for the activity can be used for other activities</w:t>
      </w:r>
      <w:r w:rsidR="004E3EE1">
        <w:t>/</w:t>
      </w:r>
      <w:r>
        <w:t>customers. It is also affected to some extent by the relative transportation cost of performing an activity at a third party</w:t>
      </w:r>
      <w:r w:rsidR="00736FA5">
        <w:t>’s location</w:t>
      </w:r>
      <w:r>
        <w:t xml:space="preserve"> and then bringing it </w:t>
      </w:r>
      <w:r w:rsidR="00736FA5">
        <w:t xml:space="preserve">back within the company </w:t>
      </w:r>
      <w:r>
        <w:t>for assembly. In this case, a major reason for outsourcing components is that machines required for component manufacture are expensive and would not be fully utilized if dedicated to produce only for Polaris (as they would be</w:t>
      </w:r>
      <w:r w:rsidR="00C15ED6">
        <w:t xml:space="preserve"> </w:t>
      </w:r>
      <w:r>
        <w:t xml:space="preserve">if this activity is in-sourced). These machines can be used by third parties to produce components for other customers besides Polaris. Components can be packed with high density for shipping (or at least higher density than an assembled </w:t>
      </w:r>
      <w:r w:rsidR="00736FA5">
        <w:t>S</w:t>
      </w:r>
      <w:r>
        <w:t>ide-by-</w:t>
      </w:r>
      <w:r w:rsidR="00736FA5">
        <w:t>S</w:t>
      </w:r>
      <w:r>
        <w:t>ide)</w:t>
      </w:r>
      <w:r w:rsidR="00736FA5">
        <w:t>,</w:t>
      </w:r>
      <w:r>
        <w:t xml:space="preserve"> making it feasible for components to be manufactured in China and shipped to a Polaris assembly facility in the United States.</w:t>
      </w:r>
    </w:p>
    <w:p w14:paraId="4802427C" w14:textId="77777777" w:rsidR="00C15ED6" w:rsidRDefault="00736FA5" w:rsidP="00FA4D0D">
      <w:r>
        <w:t>I</w:t>
      </w:r>
      <w:r w:rsidR="00FA4D0D">
        <w:t>n contrast</w:t>
      </w:r>
      <w:r>
        <w:t>, assembly</w:t>
      </w:r>
      <w:r w:rsidR="00FA4D0D">
        <w:t xml:space="preserve"> has a high enough scale (all versions of the </w:t>
      </w:r>
      <w:r>
        <w:t>S</w:t>
      </w:r>
      <w:r w:rsidR="00FA4D0D">
        <w:t>ide-by-</w:t>
      </w:r>
      <w:r>
        <w:t>S</w:t>
      </w:r>
      <w:r w:rsidR="00FA4D0D">
        <w:t>ide can be assembled on the same line) that in-sourcing provides sufficient economies of scale.</w:t>
      </w:r>
    </w:p>
    <w:p w14:paraId="19BD7B8C" w14:textId="1C2ACB24" w:rsidR="00FA4D0D" w:rsidRDefault="00736FA5" w:rsidP="00FA4D0D">
      <w:r>
        <w:t>Instructors</w:t>
      </w:r>
      <w:r w:rsidR="00FA4D0D">
        <w:t xml:space="preserve"> may refer to a more detailed discussion </w:t>
      </w:r>
      <w:r>
        <w:t>of</w:t>
      </w:r>
      <w:r w:rsidR="00FA4D0D">
        <w:t xml:space="preserve"> outsourcing in Chapter 15 of </w:t>
      </w:r>
      <w:r>
        <w:t>Sunil Chopra,</w:t>
      </w:r>
      <w:r w:rsidRPr="00104EE4">
        <w:rPr>
          <w:i/>
        </w:rPr>
        <w:t xml:space="preserve"> </w:t>
      </w:r>
      <w:r w:rsidR="00FA4D0D" w:rsidRPr="00104EE4">
        <w:rPr>
          <w:i/>
        </w:rPr>
        <w:t>Supply Chain Management</w:t>
      </w:r>
      <w:r w:rsidR="00FA4D0D">
        <w:t xml:space="preserve">, </w:t>
      </w:r>
      <w:r w:rsidR="00FB0A6C">
        <w:t>7</w:t>
      </w:r>
      <w:r w:rsidR="00FA4D0D">
        <w:t>th ed</w:t>
      </w:r>
      <w:r>
        <w:t xml:space="preserve">. (Upper Saddle River, NJ: Prentice Hall, </w:t>
      </w:r>
      <w:r w:rsidR="00FB0A6C">
        <w:t>2019</w:t>
      </w:r>
      <w:r>
        <w:t>)</w:t>
      </w:r>
      <w:r w:rsidR="00FA4D0D">
        <w:t>.</w:t>
      </w:r>
    </w:p>
    <w:p w14:paraId="15395DF0" w14:textId="77777777" w:rsidR="00FA4D0D" w:rsidRDefault="00FA4D0D" w:rsidP="00FA4D0D">
      <w:pPr>
        <w:pStyle w:val="Heading4"/>
      </w:pPr>
      <w:r>
        <w:t xml:space="preserve">2. Which manufacturing location provides Polaris with </w:t>
      </w:r>
      <w:r w:rsidR="00736FA5">
        <w:t xml:space="preserve">the </w:t>
      </w:r>
      <w:r>
        <w:t>greatest cost savings?</w:t>
      </w:r>
    </w:p>
    <w:p w14:paraId="54D57CE1" w14:textId="77777777" w:rsidR="0036289D" w:rsidRDefault="00FA4D0D" w:rsidP="00FA4D0D">
      <w:r>
        <w:t xml:space="preserve">On a total cost basis, Polaris is better off moving its manufacturing facility to Monterrey, Mexico. Our analysis evaluates the NPV over a </w:t>
      </w:r>
      <w:r w:rsidR="001A3D9E">
        <w:t>six</w:t>
      </w:r>
      <w:r w:rsidR="007A2D05">
        <w:t>-</w:t>
      </w:r>
      <w:r>
        <w:t>year period with a discount rate of 10</w:t>
      </w:r>
      <w:r w:rsidR="0064121C">
        <w:t xml:space="preserve"> percent</w:t>
      </w:r>
      <w:r>
        <w:t>.</w:t>
      </w:r>
    </w:p>
    <w:tbl>
      <w:tblPr>
        <w:tblStyle w:val="TableGrid"/>
        <w:tblW w:w="8489" w:type="dxa"/>
        <w:tblInd w:w="151" w:type="dxa"/>
        <w:tblLook w:val="04A0" w:firstRow="1" w:lastRow="0" w:firstColumn="1" w:lastColumn="0" w:noHBand="0" w:noVBand="1"/>
      </w:tblPr>
      <w:tblGrid>
        <w:gridCol w:w="1963"/>
        <w:gridCol w:w="2176"/>
        <w:gridCol w:w="2179"/>
        <w:gridCol w:w="2171"/>
      </w:tblGrid>
      <w:tr w:rsidR="00FA4D0D" w14:paraId="389706E1" w14:textId="77777777" w:rsidTr="003C7A8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63" w:type="dxa"/>
          </w:tcPr>
          <w:p w14:paraId="1D24A286" w14:textId="77777777" w:rsidR="00FA4D0D" w:rsidRDefault="00FA4D0D" w:rsidP="00F169B5">
            <w:pPr>
              <w:pStyle w:val="TableBodyText"/>
            </w:pPr>
          </w:p>
        </w:tc>
        <w:tc>
          <w:tcPr>
            <w:tcW w:w="2176" w:type="dxa"/>
          </w:tcPr>
          <w:p w14:paraId="217BBFE7" w14:textId="77777777" w:rsidR="00FA4D0D" w:rsidRDefault="00F169B5" w:rsidP="00B13C65">
            <w:pPr>
              <w:pStyle w:val="TableBodyText"/>
              <w:jc w:val="center"/>
              <w:cnfStyle w:val="100000000000" w:firstRow="1" w:lastRow="0" w:firstColumn="0" w:lastColumn="0" w:oddVBand="0" w:evenVBand="0" w:oddHBand="0" w:evenHBand="0" w:firstRowFirstColumn="0" w:firstRowLastColumn="0" w:lastRowFirstColumn="0" w:lastRowLastColumn="0"/>
            </w:pPr>
            <w:r>
              <w:t>U</w:t>
            </w:r>
            <w:r w:rsidR="00B13C65">
              <w:t xml:space="preserve">nited </w:t>
            </w:r>
            <w:r>
              <w:t>S</w:t>
            </w:r>
            <w:r w:rsidR="00736FA5">
              <w:t>tates</w:t>
            </w:r>
            <w:r w:rsidR="00B13C65">
              <w:br/>
              <w:t>(US$)</w:t>
            </w:r>
          </w:p>
        </w:tc>
        <w:tc>
          <w:tcPr>
            <w:tcW w:w="2179" w:type="dxa"/>
          </w:tcPr>
          <w:p w14:paraId="237DD6DD" w14:textId="77777777" w:rsidR="00FA4D0D" w:rsidRDefault="00F169B5" w:rsidP="00F169B5">
            <w:pPr>
              <w:pStyle w:val="TableBodyText"/>
              <w:jc w:val="center"/>
              <w:cnfStyle w:val="100000000000" w:firstRow="1" w:lastRow="0" w:firstColumn="0" w:lastColumn="0" w:oddVBand="0" w:evenVBand="0" w:oddHBand="0" w:evenHBand="0" w:firstRowFirstColumn="0" w:firstRowLastColumn="0" w:lastRowFirstColumn="0" w:lastRowLastColumn="0"/>
            </w:pPr>
            <w:r>
              <w:t>Mexico</w:t>
            </w:r>
            <w:r w:rsidR="00B13C65">
              <w:br/>
              <w:t>(US$)</w:t>
            </w:r>
          </w:p>
        </w:tc>
        <w:tc>
          <w:tcPr>
            <w:tcW w:w="2171" w:type="dxa"/>
          </w:tcPr>
          <w:p w14:paraId="2DA89CE0" w14:textId="77777777" w:rsidR="00FA4D0D" w:rsidRDefault="00F169B5" w:rsidP="00F169B5">
            <w:pPr>
              <w:pStyle w:val="TableBodyText"/>
              <w:jc w:val="center"/>
              <w:cnfStyle w:val="100000000000" w:firstRow="1" w:lastRow="0" w:firstColumn="0" w:lastColumn="0" w:oddVBand="0" w:evenVBand="0" w:oddHBand="0" w:evenHBand="0" w:firstRowFirstColumn="0" w:firstRowLastColumn="0" w:lastRowFirstColumn="0" w:lastRowLastColumn="0"/>
            </w:pPr>
            <w:r>
              <w:t>China</w:t>
            </w:r>
            <w:r w:rsidR="00B13C65">
              <w:br/>
              <w:t>(US$)</w:t>
            </w:r>
          </w:p>
        </w:tc>
      </w:tr>
      <w:tr w:rsidR="00FA4D0D" w14:paraId="4D95DD51" w14:textId="77777777" w:rsidTr="003C7A8F">
        <w:trPr>
          <w:cantSplit w:val="0"/>
        </w:trPr>
        <w:tc>
          <w:tcPr>
            <w:cnfStyle w:val="001000000000" w:firstRow="0" w:lastRow="0" w:firstColumn="1" w:lastColumn="0" w:oddVBand="0" w:evenVBand="0" w:oddHBand="0" w:evenHBand="0" w:firstRowFirstColumn="0" w:firstRowLastColumn="0" w:lastRowFirstColumn="0" w:lastRowLastColumn="0"/>
            <w:tcW w:w="1963" w:type="dxa"/>
          </w:tcPr>
          <w:p w14:paraId="14EFC6D9" w14:textId="77777777" w:rsidR="00FA4D0D" w:rsidRDefault="00B13C65" w:rsidP="00F169B5">
            <w:pPr>
              <w:pStyle w:val="TableBodyText"/>
            </w:pPr>
            <w:r>
              <w:t>Net present cost</w:t>
            </w:r>
          </w:p>
        </w:tc>
        <w:tc>
          <w:tcPr>
            <w:tcW w:w="2176" w:type="dxa"/>
          </w:tcPr>
          <w:p w14:paraId="4DAC35E4" w14:textId="77777777" w:rsidR="00FA4D0D" w:rsidRDefault="00F169B5" w:rsidP="00F169B5">
            <w:pPr>
              <w:pStyle w:val="TableBodyText"/>
              <w:ind w:right="598"/>
              <w:jc w:val="right"/>
              <w:cnfStyle w:val="000000000000" w:firstRow="0" w:lastRow="0" w:firstColumn="0" w:lastColumn="0" w:oddVBand="0" w:evenVBand="0" w:oddHBand="0" w:evenHBand="0" w:firstRowFirstColumn="0" w:firstRowLastColumn="0" w:lastRowFirstColumn="0" w:lastRowLastColumn="0"/>
            </w:pPr>
            <w:r>
              <w:t>43,012,777</w:t>
            </w:r>
          </w:p>
        </w:tc>
        <w:tc>
          <w:tcPr>
            <w:tcW w:w="2179" w:type="dxa"/>
          </w:tcPr>
          <w:p w14:paraId="629C5B78" w14:textId="77777777" w:rsidR="00FA4D0D" w:rsidRDefault="00F169B5" w:rsidP="005D198A">
            <w:pPr>
              <w:pStyle w:val="TableBodyText"/>
              <w:ind w:right="569"/>
              <w:jc w:val="right"/>
              <w:cnfStyle w:val="000000000000" w:firstRow="0" w:lastRow="0" w:firstColumn="0" w:lastColumn="0" w:oddVBand="0" w:evenVBand="0" w:oddHBand="0" w:evenHBand="0" w:firstRowFirstColumn="0" w:firstRowLastColumn="0" w:lastRowFirstColumn="0" w:lastRowLastColumn="0"/>
            </w:pPr>
            <w:r>
              <w:t>40,015</w:t>
            </w:r>
            <w:r w:rsidR="00104EE4">
              <w:t>,</w:t>
            </w:r>
            <w:r>
              <w:t>174</w:t>
            </w:r>
          </w:p>
        </w:tc>
        <w:tc>
          <w:tcPr>
            <w:tcW w:w="2171" w:type="dxa"/>
          </w:tcPr>
          <w:p w14:paraId="236DFD29" w14:textId="77777777" w:rsidR="00FA4D0D" w:rsidRDefault="00F169B5" w:rsidP="00F169B5">
            <w:pPr>
              <w:pStyle w:val="TableBodyText"/>
              <w:ind w:right="526"/>
              <w:jc w:val="right"/>
              <w:cnfStyle w:val="000000000000" w:firstRow="0" w:lastRow="0" w:firstColumn="0" w:lastColumn="0" w:oddVBand="0" w:evenVBand="0" w:oddHBand="0" w:evenHBand="0" w:firstRowFirstColumn="0" w:firstRowLastColumn="0" w:lastRowFirstColumn="0" w:lastRowLastColumn="0"/>
            </w:pPr>
            <w:r>
              <w:t>41,413,953</w:t>
            </w:r>
          </w:p>
        </w:tc>
      </w:tr>
      <w:tr w:rsidR="00FA4D0D" w14:paraId="35933A0F" w14:textId="77777777" w:rsidTr="003C7A8F">
        <w:trPr>
          <w:cantSplit w:val="0"/>
        </w:trPr>
        <w:tc>
          <w:tcPr>
            <w:cnfStyle w:val="001000000000" w:firstRow="0" w:lastRow="0" w:firstColumn="1" w:lastColumn="0" w:oddVBand="0" w:evenVBand="0" w:oddHBand="0" w:evenHBand="0" w:firstRowFirstColumn="0" w:firstRowLastColumn="0" w:lastRowFirstColumn="0" w:lastRowLastColumn="0"/>
            <w:tcW w:w="1963" w:type="dxa"/>
          </w:tcPr>
          <w:p w14:paraId="09585AF3" w14:textId="77777777" w:rsidR="00FA4D0D" w:rsidRDefault="00F169B5" w:rsidP="00F169B5">
            <w:pPr>
              <w:pStyle w:val="TableBodyText"/>
            </w:pPr>
            <w:r>
              <w:t xml:space="preserve">Savings vs. </w:t>
            </w:r>
            <w:r w:rsidR="00B13C65">
              <w:t>United States</w:t>
            </w:r>
          </w:p>
        </w:tc>
        <w:tc>
          <w:tcPr>
            <w:tcW w:w="2176" w:type="dxa"/>
          </w:tcPr>
          <w:p w14:paraId="1DA5CCAF" w14:textId="77777777" w:rsidR="00FA4D0D" w:rsidRDefault="00F169B5" w:rsidP="00F169B5">
            <w:pPr>
              <w:pStyle w:val="TableBodyText"/>
              <w:ind w:right="598"/>
              <w:jc w:val="right"/>
              <w:cnfStyle w:val="000000000000" w:firstRow="0" w:lastRow="0" w:firstColumn="0" w:lastColumn="0" w:oddVBand="0" w:evenVBand="0" w:oddHBand="0" w:evenHBand="0" w:firstRowFirstColumn="0" w:firstRowLastColumn="0" w:lastRowFirstColumn="0" w:lastRowLastColumn="0"/>
            </w:pPr>
            <w:r>
              <w:t>0</w:t>
            </w:r>
          </w:p>
        </w:tc>
        <w:tc>
          <w:tcPr>
            <w:tcW w:w="2179" w:type="dxa"/>
          </w:tcPr>
          <w:p w14:paraId="7CAA1616" w14:textId="77777777" w:rsidR="00FA4D0D" w:rsidRDefault="00F169B5" w:rsidP="005D198A">
            <w:pPr>
              <w:pStyle w:val="TableBodyText"/>
              <w:ind w:right="569"/>
              <w:jc w:val="right"/>
              <w:cnfStyle w:val="000000000000" w:firstRow="0" w:lastRow="0" w:firstColumn="0" w:lastColumn="0" w:oddVBand="0" w:evenVBand="0" w:oddHBand="0" w:evenHBand="0" w:firstRowFirstColumn="0" w:firstRowLastColumn="0" w:lastRowFirstColumn="0" w:lastRowLastColumn="0"/>
            </w:pPr>
            <w:r>
              <w:t>2,997,603</w:t>
            </w:r>
          </w:p>
        </w:tc>
        <w:tc>
          <w:tcPr>
            <w:tcW w:w="2171" w:type="dxa"/>
          </w:tcPr>
          <w:p w14:paraId="241E32E5" w14:textId="77777777" w:rsidR="00FA4D0D" w:rsidRDefault="00F169B5" w:rsidP="00F169B5">
            <w:pPr>
              <w:pStyle w:val="TableBodyText"/>
              <w:ind w:right="526"/>
              <w:jc w:val="right"/>
              <w:cnfStyle w:val="000000000000" w:firstRow="0" w:lastRow="0" w:firstColumn="0" w:lastColumn="0" w:oddVBand="0" w:evenVBand="0" w:oddHBand="0" w:evenHBand="0" w:firstRowFirstColumn="0" w:firstRowLastColumn="0" w:lastRowFirstColumn="0" w:lastRowLastColumn="0"/>
            </w:pPr>
            <w:r>
              <w:t>1,868,824</w:t>
            </w:r>
          </w:p>
        </w:tc>
      </w:tr>
    </w:tbl>
    <w:p w14:paraId="6C271422" w14:textId="77777777" w:rsidR="00F169B5" w:rsidRDefault="00F169B5" w:rsidP="00FA4D0D"/>
    <w:p w14:paraId="323C4F84" w14:textId="77777777" w:rsidR="00FA4D0D" w:rsidRPr="00582DD9" w:rsidRDefault="00FA4D0D" w:rsidP="005D198A">
      <w:pPr>
        <w:ind w:firstLine="0"/>
      </w:pPr>
      <w:r w:rsidRPr="00582DD9">
        <w:lastRenderedPageBreak/>
        <w:t>Monterrey offers the most sav</w:t>
      </w:r>
      <w:r>
        <w:t>ings compared to the base case i</w:t>
      </w:r>
      <w:r w:rsidRPr="00582DD9">
        <w:t>n addition</w:t>
      </w:r>
      <w:r>
        <w:t xml:space="preserve"> to</w:t>
      </w:r>
      <w:r w:rsidRPr="00582DD9">
        <w:t xml:space="preserve"> the </w:t>
      </w:r>
      <w:r>
        <w:t xml:space="preserve">highest </w:t>
      </w:r>
      <w:r w:rsidRPr="00582DD9">
        <w:t>return on investment.</w:t>
      </w:r>
    </w:p>
    <w:p w14:paraId="4EC35BD6" w14:textId="77777777" w:rsidR="00FA4D0D" w:rsidRPr="00582DD9" w:rsidRDefault="00FA4D0D" w:rsidP="00FA4D0D">
      <w:r w:rsidRPr="00582DD9">
        <w:t xml:space="preserve">To establish </w:t>
      </w:r>
      <w:r>
        <w:t>total cost</w:t>
      </w:r>
      <w:r w:rsidRPr="00582DD9">
        <w:t>, a model has been built</w:t>
      </w:r>
      <w:r>
        <w:t xml:space="preserve"> in Excel</w:t>
      </w:r>
      <w:r w:rsidRPr="00582DD9">
        <w:t>. It details the different costs</w:t>
      </w:r>
      <w:r w:rsidR="00736FA5">
        <w:t xml:space="preserve"> as follows</w:t>
      </w:r>
      <w:r w:rsidRPr="00582DD9">
        <w:t>:</w:t>
      </w:r>
    </w:p>
    <w:p w14:paraId="37A6F543" w14:textId="77777777" w:rsidR="00FA4D0D" w:rsidRPr="00582DD9" w:rsidRDefault="00FA4D0D" w:rsidP="00FA4D0D">
      <w:pPr>
        <w:pStyle w:val="BulletPoints"/>
      </w:pPr>
      <w:r w:rsidRPr="00582DD9">
        <w:t>One-time expenses, including:</w:t>
      </w:r>
    </w:p>
    <w:p w14:paraId="1B1BE0FC" w14:textId="77777777" w:rsidR="00FA4D0D" w:rsidRPr="00582DD9" w:rsidRDefault="00FA4D0D" w:rsidP="00B13C65">
      <w:pPr>
        <w:pStyle w:val="BulletPoints"/>
        <w:numPr>
          <w:ilvl w:val="1"/>
          <w:numId w:val="2"/>
        </w:numPr>
        <w:ind w:left="1080"/>
      </w:pPr>
      <w:r w:rsidRPr="00582DD9">
        <w:t>Capital investment for Mexico</w:t>
      </w:r>
      <w:r>
        <w:t xml:space="preserve"> ($9.5 million)</w:t>
      </w:r>
      <w:r w:rsidRPr="00582DD9">
        <w:t xml:space="preserve"> and China</w:t>
      </w:r>
      <w:r>
        <w:t xml:space="preserve"> ($10 million)</w:t>
      </w:r>
    </w:p>
    <w:p w14:paraId="1792EEA1" w14:textId="77777777" w:rsidR="00FA4D0D" w:rsidRPr="00582DD9" w:rsidRDefault="00FA4D0D" w:rsidP="00B13C65">
      <w:pPr>
        <w:pStyle w:val="BulletPoints"/>
        <w:numPr>
          <w:ilvl w:val="1"/>
          <w:numId w:val="2"/>
        </w:numPr>
        <w:spacing w:after="240"/>
        <w:ind w:left="1080"/>
      </w:pPr>
      <w:r w:rsidRPr="00582DD9">
        <w:t>Severance costs for Mexico and China: the company needs to lay</w:t>
      </w:r>
      <w:r w:rsidR="00B13C65">
        <w:t xml:space="preserve"> </w:t>
      </w:r>
      <w:r w:rsidRPr="00582DD9">
        <w:t xml:space="preserve">off </w:t>
      </w:r>
      <w:r w:rsidR="001A3D9E">
        <w:t>sixty</w:t>
      </w:r>
      <w:r w:rsidRPr="00582DD9">
        <w:t xml:space="preserve"> American workers at a cost of $20,000 each</w:t>
      </w:r>
    </w:p>
    <w:p w14:paraId="7AD94A1C" w14:textId="77777777" w:rsidR="00FA4D0D" w:rsidRPr="00582DD9" w:rsidRDefault="00FA4D0D" w:rsidP="00FA4D0D">
      <w:pPr>
        <w:pStyle w:val="BulletPoints"/>
      </w:pPr>
      <w:r w:rsidRPr="00582DD9">
        <w:t>Yearly costs (for 2009 to 2013)</w:t>
      </w:r>
    </w:p>
    <w:p w14:paraId="7CFD1A24" w14:textId="77777777" w:rsidR="00FA4D0D" w:rsidRDefault="00FA4D0D" w:rsidP="00B13C65">
      <w:pPr>
        <w:pStyle w:val="BulletPoints"/>
        <w:numPr>
          <w:ilvl w:val="1"/>
          <w:numId w:val="2"/>
        </w:numPr>
        <w:spacing w:after="240"/>
        <w:ind w:left="1080"/>
      </w:pPr>
      <w:r w:rsidRPr="00582DD9">
        <w:t>Production costs:</w:t>
      </w:r>
    </w:p>
    <w:p w14:paraId="14E0CE97" w14:textId="77777777" w:rsidR="00FA4D0D" w:rsidRPr="005D198A" w:rsidRDefault="00FA4D0D" w:rsidP="005D198A">
      <w:pPr>
        <w:ind w:left="1080" w:firstLine="0"/>
        <w:rPr>
          <w:iCs/>
        </w:rPr>
      </w:pPr>
      <m:oMathPara>
        <m:oMathParaPr>
          <m:jc m:val="left"/>
        </m:oMathParaPr>
        <m:oMath>
          <m:r>
            <w:rPr>
              <w:rFonts w:ascii="Cambria Math" w:hAnsi="Cambria Math"/>
            </w:rPr>
            <m:t>Production</m:t>
          </m:r>
          <m:r>
            <m:rPr>
              <m:sty m:val="p"/>
            </m:rPr>
            <w:rPr>
              <w:rFonts w:ascii="Cambria Math" w:hAnsi="Cambria Math"/>
            </w:rPr>
            <m:t xml:space="preserve"> </m:t>
          </m:r>
          <m:r>
            <w:rPr>
              <w:rFonts w:ascii="Cambria Math" w:hAnsi="Cambria Math"/>
            </w:rPr>
            <m:t>cost</m:t>
          </m:r>
          <m:r>
            <m:rPr>
              <m:sty m:val="p"/>
            </m:rPr>
            <w:rPr>
              <w:rFonts w:ascii="Cambria Math" w:hAnsi="Cambria Math"/>
            </w:rPr>
            <m:t>=</m:t>
          </m:r>
          <m:r>
            <w:rPr>
              <w:rFonts w:ascii="Cambria Math" w:hAnsi="Cambria Math"/>
            </w:rPr>
            <m:t>Unit</m:t>
          </m:r>
          <m:r>
            <m:rPr>
              <m:sty m:val="p"/>
            </m:rPr>
            <w:rPr>
              <w:rFonts w:ascii="Cambria Math" w:hAnsi="Cambria Math"/>
            </w:rPr>
            <m:t xml:space="preserve"> </m:t>
          </m:r>
          <m:r>
            <w:rPr>
              <w:rFonts w:ascii="Cambria Math" w:hAnsi="Cambria Math"/>
            </w:rPr>
            <m:t>production</m:t>
          </m:r>
          <m:r>
            <m:rPr>
              <m:sty m:val="p"/>
            </m:rPr>
            <w:rPr>
              <w:rFonts w:ascii="Cambria Math" w:hAnsi="Cambria Math"/>
            </w:rPr>
            <m:t xml:space="preserve"> </m:t>
          </m:r>
          <m:r>
            <w:rPr>
              <w:rFonts w:ascii="Cambria Math" w:hAnsi="Cambria Math"/>
            </w:rPr>
            <m:t>cost</m:t>
          </m:r>
          <m:r>
            <m:rPr>
              <m:sty m:val="p"/>
            </m:rPr>
            <w:rPr>
              <w:rFonts w:ascii="Cambria Math" w:hAnsi="Cambria Math"/>
            </w:rPr>
            <m:t>×</m:t>
          </m:r>
          <m:r>
            <w:rPr>
              <w:rFonts w:ascii="Cambria Math" w:hAnsi="Cambria Math"/>
            </w:rPr>
            <m:t>Annual</m:t>
          </m:r>
          <m:r>
            <m:rPr>
              <m:sty m:val="p"/>
            </m:rPr>
            <w:rPr>
              <w:rFonts w:ascii="Cambria Math" w:hAnsi="Cambria Math"/>
            </w:rPr>
            <m:t xml:space="preserve"> </m:t>
          </m:r>
          <m:r>
            <w:rPr>
              <w:rFonts w:ascii="Cambria Math" w:hAnsi="Cambria Math"/>
            </w:rPr>
            <m:t>demand</m:t>
          </m:r>
        </m:oMath>
      </m:oMathPara>
    </w:p>
    <w:p w14:paraId="0F6245E8" w14:textId="77777777" w:rsidR="00FA4D0D" w:rsidRPr="00B13C65" w:rsidRDefault="00FA4D0D" w:rsidP="005D198A">
      <w:pPr>
        <w:pStyle w:val="BulletPoints"/>
        <w:numPr>
          <w:ilvl w:val="0"/>
          <w:numId w:val="0"/>
        </w:numPr>
        <w:spacing w:after="240"/>
        <w:ind w:left="1080"/>
      </w:pPr>
      <w:r w:rsidRPr="00B13C65">
        <w:t xml:space="preserve">Unit production costs: 400 </w:t>
      </w:r>
      <w:r w:rsidR="005D198A">
        <w:t xml:space="preserve">USD </w:t>
      </w:r>
      <w:r w:rsidRPr="00B13C65">
        <w:t>(U</w:t>
      </w:r>
      <w:r w:rsidR="005D198A">
        <w:t>.</w:t>
      </w:r>
      <w:r w:rsidR="00F03875">
        <w:t>S</w:t>
      </w:r>
      <w:r w:rsidR="005D198A">
        <w:t>.</w:t>
      </w:r>
      <w:r w:rsidRPr="00B13C65">
        <w:t>); 4,560 MXN (Mexico); 1,950 CNY (China)</w:t>
      </w:r>
    </w:p>
    <w:p w14:paraId="4820A0F5" w14:textId="77777777" w:rsidR="00FA4D0D" w:rsidRPr="00582DD9" w:rsidRDefault="00FA4D0D" w:rsidP="00B13C65">
      <w:pPr>
        <w:pStyle w:val="BulletPoints"/>
        <w:numPr>
          <w:ilvl w:val="1"/>
          <w:numId w:val="2"/>
        </w:numPr>
        <w:spacing w:after="240"/>
        <w:ind w:left="1080"/>
      </w:pPr>
      <w:r w:rsidRPr="00582DD9">
        <w:t>Labor costs:</w:t>
      </w:r>
    </w:p>
    <w:p w14:paraId="26CBC261" w14:textId="77777777" w:rsidR="00FA4D0D" w:rsidRPr="005D198A" w:rsidRDefault="00FA4D0D" w:rsidP="005D198A">
      <w:pPr>
        <w:spacing w:line="240" w:lineRule="auto"/>
        <w:ind w:left="1080" w:firstLine="0"/>
      </w:pPr>
      <m:oMathPara>
        <m:oMathParaPr>
          <m:jc m:val="left"/>
        </m:oMathParaPr>
        <m:oMath>
          <m:r>
            <w:rPr>
              <w:rFonts w:ascii="Cambria Math" w:hAnsi="Cambria Math"/>
            </w:rPr>
            <m:t>Labor costs=</m:t>
          </m:r>
          <m:f>
            <m:fPr>
              <m:ctrlPr>
                <w:rPr>
                  <w:rFonts w:ascii="Cambria Math" w:hAnsi="Cambria Math"/>
                  <w:i/>
                </w:rPr>
              </m:ctrlPr>
            </m:fPr>
            <m:num>
              <m:r>
                <w:rPr>
                  <w:rFonts w:ascii="Cambria Math" w:hAnsi="Cambria Math"/>
                </w:rPr>
                <m:t># of employees×Annual # of hours worked×Hourly salary</m:t>
              </m:r>
            </m:num>
            <m:den>
              <m:r>
                <w:rPr>
                  <w:rFonts w:ascii="Cambria Math" w:hAnsi="Cambria Math"/>
                </w:rPr>
                <m:t>Exchange rate</m:t>
              </m:r>
            </m:den>
          </m:f>
        </m:oMath>
      </m:oMathPara>
    </w:p>
    <w:p w14:paraId="71ECC1E0" w14:textId="77777777" w:rsidR="00FA4D0D" w:rsidRPr="00B13C65" w:rsidRDefault="00FA4D0D" w:rsidP="005D198A">
      <w:pPr>
        <w:pStyle w:val="BulletPoints"/>
        <w:numPr>
          <w:ilvl w:val="0"/>
          <w:numId w:val="0"/>
        </w:numPr>
        <w:ind w:left="1080"/>
      </w:pPr>
      <w:r w:rsidRPr="00B13C65">
        <w:t xml:space="preserve">Hourly salary (2008): 26 </w:t>
      </w:r>
      <w:r w:rsidR="005D198A">
        <w:t xml:space="preserve">USD </w:t>
      </w:r>
      <w:r w:rsidRPr="00B13C65">
        <w:t>(U</w:t>
      </w:r>
      <w:r w:rsidR="005D198A">
        <w:t>.</w:t>
      </w:r>
      <w:r w:rsidR="00F03875">
        <w:t>S</w:t>
      </w:r>
      <w:r w:rsidR="005D198A">
        <w:t>.</w:t>
      </w:r>
      <w:r w:rsidRPr="00B13C65">
        <w:t>); 25.3 MXN (Mexico); 11.6 CNY (China)</w:t>
      </w:r>
    </w:p>
    <w:p w14:paraId="22D6A8E3" w14:textId="77777777" w:rsidR="00FA4D0D" w:rsidRPr="00B13C65" w:rsidRDefault="00FA4D0D" w:rsidP="005D198A">
      <w:pPr>
        <w:pStyle w:val="BulletPoints"/>
        <w:numPr>
          <w:ilvl w:val="0"/>
          <w:numId w:val="0"/>
        </w:numPr>
        <w:spacing w:after="240"/>
        <w:ind w:left="1080"/>
      </w:pPr>
      <w:r w:rsidRPr="00B13C65">
        <w:t>Annual wage growth: 7.1</w:t>
      </w:r>
      <w:r w:rsidR="00736FA5">
        <w:t xml:space="preserve"> percent</w:t>
      </w:r>
      <w:r w:rsidRPr="00B13C65">
        <w:t xml:space="preserve"> in Mexico; 12.4</w:t>
      </w:r>
      <w:r w:rsidR="00736FA5">
        <w:t xml:space="preserve"> percent</w:t>
      </w:r>
      <w:r w:rsidR="00736FA5" w:rsidRPr="00B13C65">
        <w:t xml:space="preserve"> </w:t>
      </w:r>
      <w:r w:rsidRPr="00B13C65">
        <w:t>in China</w:t>
      </w:r>
    </w:p>
    <w:p w14:paraId="2019BF58" w14:textId="77777777" w:rsidR="00FA4D0D" w:rsidRPr="00B13C65" w:rsidRDefault="00FA4D0D" w:rsidP="005D198A">
      <w:pPr>
        <w:pStyle w:val="BulletPoints"/>
        <w:numPr>
          <w:ilvl w:val="1"/>
          <w:numId w:val="2"/>
        </w:numPr>
        <w:spacing w:after="240"/>
        <w:ind w:left="1080"/>
      </w:pPr>
      <w:r w:rsidRPr="00B13C65">
        <w:t>Transportation costs:</w:t>
      </w:r>
    </w:p>
    <w:p w14:paraId="16CE5343" w14:textId="77777777" w:rsidR="00FA4D0D" w:rsidRPr="005D198A" w:rsidRDefault="00FA4D0D" w:rsidP="005D198A">
      <w:pPr>
        <w:ind w:left="1080" w:firstLine="0"/>
      </w:pPr>
      <m:oMathPara>
        <m:oMathParaPr>
          <m:jc m:val="left"/>
        </m:oMathParaPr>
        <m:oMath>
          <m:r>
            <w:rPr>
              <w:rFonts w:ascii="Cambria Math" w:hAnsi="Cambria Math"/>
            </w:rPr>
            <m:t>Transportation</m:t>
          </m:r>
          <m:r>
            <m:rPr>
              <m:sty m:val="p"/>
            </m:rPr>
            <w:rPr>
              <w:rFonts w:ascii="Cambria Math" w:hAnsi="Cambria Math"/>
            </w:rPr>
            <m:t xml:space="preserve"> </m:t>
          </m:r>
          <m:r>
            <w:rPr>
              <w:rFonts w:ascii="Cambria Math" w:hAnsi="Cambria Math"/>
            </w:rPr>
            <m:t>cost</m:t>
          </m:r>
          <m:r>
            <m:rPr>
              <m:sty m:val="p"/>
            </m:rPr>
            <w:rPr>
              <w:rFonts w:ascii="Cambria Math" w:hAnsi="Cambria Math"/>
            </w:rPr>
            <m:t>=</m:t>
          </m:r>
          <m:r>
            <w:rPr>
              <w:rFonts w:ascii="Cambria Math" w:hAnsi="Cambria Math"/>
            </w:rPr>
            <m:t>Unit</m:t>
          </m:r>
          <m:r>
            <m:rPr>
              <m:sty m:val="p"/>
            </m:rPr>
            <w:rPr>
              <w:rFonts w:ascii="Cambria Math" w:hAnsi="Cambria Math"/>
            </w:rPr>
            <m:t xml:space="preserve"> </m:t>
          </m:r>
          <m:r>
            <w:rPr>
              <w:rFonts w:ascii="Cambria Math" w:hAnsi="Cambria Math"/>
            </w:rPr>
            <m:t>transportation</m:t>
          </m:r>
          <m:r>
            <m:rPr>
              <m:sty m:val="p"/>
            </m:rPr>
            <w:rPr>
              <w:rFonts w:ascii="Cambria Math" w:hAnsi="Cambria Math"/>
            </w:rPr>
            <m:t xml:space="preserve"> </m:t>
          </m:r>
          <m:r>
            <w:rPr>
              <w:rFonts w:ascii="Cambria Math" w:hAnsi="Cambria Math"/>
            </w:rPr>
            <m:t>cost</m:t>
          </m:r>
          <m:r>
            <m:rPr>
              <m:sty m:val="p"/>
            </m:rPr>
            <w:rPr>
              <w:rFonts w:ascii="Cambria Math" w:hAnsi="Cambria Math"/>
            </w:rPr>
            <m:t>×</m:t>
          </m:r>
          <m:r>
            <w:rPr>
              <w:rFonts w:ascii="Cambria Math" w:hAnsi="Cambria Math"/>
            </w:rPr>
            <m:t>Annual</m:t>
          </m:r>
          <m:r>
            <m:rPr>
              <m:sty m:val="p"/>
            </m:rPr>
            <w:rPr>
              <w:rFonts w:ascii="Cambria Math" w:hAnsi="Cambria Math"/>
            </w:rPr>
            <m:t xml:space="preserve"> </m:t>
          </m:r>
          <m:r>
            <w:rPr>
              <w:rFonts w:ascii="Cambria Math" w:hAnsi="Cambria Math"/>
            </w:rPr>
            <m:t>demand</m:t>
          </m:r>
        </m:oMath>
      </m:oMathPara>
    </w:p>
    <w:p w14:paraId="045CDEFA" w14:textId="77777777" w:rsidR="00FA4D0D" w:rsidRPr="00582DD9" w:rsidRDefault="00FA4D0D" w:rsidP="005D198A">
      <w:pPr>
        <w:pStyle w:val="BulletPoints"/>
        <w:numPr>
          <w:ilvl w:val="0"/>
          <w:numId w:val="0"/>
        </w:numPr>
        <w:ind w:left="720"/>
      </w:pPr>
      <w:r w:rsidRPr="00582DD9">
        <w:t>To compute the unit transportation cost:</w:t>
      </w:r>
    </w:p>
    <w:p w14:paraId="79E2C1AF" w14:textId="77777777" w:rsidR="00FA4D0D" w:rsidRPr="00582DD9" w:rsidRDefault="00FA4D0D" w:rsidP="005D198A">
      <w:pPr>
        <w:pStyle w:val="BulletPoints"/>
        <w:numPr>
          <w:ilvl w:val="2"/>
          <w:numId w:val="2"/>
        </w:numPr>
        <w:ind w:left="1440"/>
      </w:pPr>
      <w:r w:rsidRPr="00582DD9">
        <w:t>For China, the unit transportation cost is given as $190 per unit</w:t>
      </w:r>
    </w:p>
    <w:p w14:paraId="0B2D3E81" w14:textId="77777777" w:rsidR="00FA4D0D" w:rsidRDefault="00FA4D0D" w:rsidP="005D198A">
      <w:pPr>
        <w:pStyle w:val="BulletPoints"/>
        <w:numPr>
          <w:ilvl w:val="2"/>
          <w:numId w:val="2"/>
        </w:numPr>
        <w:ind w:left="1440"/>
      </w:pPr>
      <w:r w:rsidRPr="00582DD9">
        <w:t xml:space="preserve">For </w:t>
      </w:r>
      <w:r w:rsidR="005D198A">
        <w:t xml:space="preserve">the </w:t>
      </w:r>
      <w:r w:rsidRPr="00582DD9">
        <w:t>U</w:t>
      </w:r>
      <w:r w:rsidR="00F03875">
        <w:t xml:space="preserve">nited </w:t>
      </w:r>
      <w:r w:rsidRPr="00582DD9">
        <w:t>S</w:t>
      </w:r>
      <w:r w:rsidR="00F03875">
        <w:t>tates</w:t>
      </w:r>
      <w:r w:rsidRPr="00582DD9">
        <w:t xml:space="preserve"> and Mexico, calculations must be done as for a gravity model:</w:t>
      </w:r>
    </w:p>
    <w:p w14:paraId="61C38BF1" w14:textId="77777777" w:rsidR="00104EE4" w:rsidRPr="005D198A" w:rsidRDefault="007A2D05" w:rsidP="005D198A">
      <w:pPr>
        <w:pStyle w:val="TableTitle"/>
        <w:rPr>
          <w:b w:val="0"/>
        </w:rPr>
      </w:pPr>
      <w:r w:rsidRPr="005D198A">
        <w:rPr>
          <w:b w:val="0"/>
        </w:rPr>
        <w:t>Side-by-Sides Markets</w:t>
      </w:r>
    </w:p>
    <w:tbl>
      <w:tblPr>
        <w:tblStyle w:val="TableGrid"/>
        <w:tblW w:w="8640" w:type="dxa"/>
        <w:tblInd w:w="115" w:type="dxa"/>
        <w:tblLayout w:type="fixed"/>
        <w:tblLook w:val="04A0" w:firstRow="1" w:lastRow="0" w:firstColumn="1" w:lastColumn="0" w:noHBand="0" w:noVBand="1"/>
      </w:tblPr>
      <w:tblGrid>
        <w:gridCol w:w="1170"/>
        <w:gridCol w:w="1494"/>
        <w:gridCol w:w="1494"/>
        <w:gridCol w:w="1494"/>
        <w:gridCol w:w="1494"/>
        <w:gridCol w:w="1494"/>
      </w:tblGrid>
      <w:tr w:rsidR="00572EE4" w:rsidRPr="00C15ED6" w14:paraId="73E48E4C" w14:textId="77777777" w:rsidTr="00F03875">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1170" w:type="dxa"/>
            <w:vAlign w:val="bottom"/>
            <w:hideMark/>
          </w:tcPr>
          <w:p w14:paraId="25DC756B" w14:textId="77777777" w:rsidR="00C15ED6" w:rsidRPr="00C15ED6" w:rsidRDefault="00C15ED6" w:rsidP="00C15ED6">
            <w:pPr>
              <w:pStyle w:val="TableBodyText"/>
            </w:pPr>
            <w:r w:rsidRPr="00C15ED6">
              <w:t> </w:t>
            </w:r>
          </w:p>
        </w:tc>
        <w:tc>
          <w:tcPr>
            <w:tcW w:w="1494" w:type="dxa"/>
            <w:vAlign w:val="bottom"/>
            <w:hideMark/>
          </w:tcPr>
          <w:p w14:paraId="15914DAF" w14:textId="77777777" w:rsidR="00C15ED6" w:rsidRPr="00C15ED6" w:rsidRDefault="00F03875" w:rsidP="00C15ED6">
            <w:pPr>
              <w:pStyle w:val="TableBodyText"/>
              <w:cnfStyle w:val="100000000000" w:firstRow="1" w:lastRow="0" w:firstColumn="0" w:lastColumn="0" w:oddVBand="0" w:evenVBand="0" w:oddHBand="0" w:evenHBand="0" w:firstRowFirstColumn="0" w:firstRowLastColumn="0" w:lastRowFirstColumn="0" w:lastRowLastColumn="0"/>
            </w:pPr>
            <w:r w:rsidRPr="002E4F1C">
              <w:t xml:space="preserve">Distribution Center </w:t>
            </w:r>
            <w:r w:rsidRPr="002E4F1C">
              <w:rPr>
                <w:szCs w:val="22"/>
              </w:rPr>
              <w:t>Location</w:t>
            </w:r>
          </w:p>
        </w:tc>
        <w:tc>
          <w:tcPr>
            <w:tcW w:w="1494" w:type="dxa"/>
            <w:vAlign w:val="bottom"/>
            <w:hideMark/>
          </w:tcPr>
          <w:p w14:paraId="025DF4D1" w14:textId="77777777" w:rsidR="00C15ED6" w:rsidRPr="00C15ED6" w:rsidRDefault="00C15ED6" w:rsidP="00572EE4">
            <w:pPr>
              <w:pStyle w:val="TableBodyText"/>
              <w:jc w:val="center"/>
              <w:cnfStyle w:val="100000000000" w:firstRow="1" w:lastRow="0" w:firstColumn="0" w:lastColumn="0" w:oddVBand="0" w:evenVBand="0" w:oddHBand="0" w:evenHBand="0" w:firstRowFirstColumn="0" w:firstRowLastColumn="0" w:lastRowFirstColumn="0" w:lastRowLastColumn="0"/>
            </w:pPr>
            <w:r w:rsidRPr="00C15ED6">
              <w:t>Units Demanded</w:t>
            </w:r>
          </w:p>
        </w:tc>
        <w:tc>
          <w:tcPr>
            <w:tcW w:w="1494" w:type="dxa"/>
            <w:vAlign w:val="bottom"/>
            <w:hideMark/>
          </w:tcPr>
          <w:p w14:paraId="698598EA" w14:textId="77777777" w:rsidR="00C15ED6" w:rsidRPr="00C15ED6" w:rsidRDefault="00C15ED6" w:rsidP="007A2D05">
            <w:pPr>
              <w:pStyle w:val="TableBodyText"/>
              <w:jc w:val="center"/>
              <w:cnfStyle w:val="100000000000" w:firstRow="1" w:lastRow="0" w:firstColumn="0" w:lastColumn="0" w:oddVBand="0" w:evenVBand="0" w:oddHBand="0" w:evenHBand="0" w:firstRowFirstColumn="0" w:firstRowLastColumn="0" w:lastRowFirstColumn="0" w:lastRowLastColumn="0"/>
            </w:pPr>
            <w:r w:rsidRPr="00C15ED6">
              <w:t xml:space="preserve">Trucks </w:t>
            </w:r>
            <w:r w:rsidR="007A2D05">
              <w:t>N</w:t>
            </w:r>
            <w:r w:rsidRPr="00C15ED6">
              <w:t xml:space="preserve">eeded for </w:t>
            </w:r>
            <w:r w:rsidR="007A2D05">
              <w:t>T</w:t>
            </w:r>
            <w:r w:rsidRPr="00C15ED6">
              <w:t>ransportation</w:t>
            </w:r>
          </w:p>
        </w:tc>
        <w:tc>
          <w:tcPr>
            <w:tcW w:w="1494" w:type="dxa"/>
            <w:vAlign w:val="bottom"/>
            <w:hideMark/>
          </w:tcPr>
          <w:p w14:paraId="4548428B" w14:textId="77777777" w:rsidR="00C15ED6" w:rsidRPr="00C15ED6" w:rsidRDefault="00C15ED6" w:rsidP="00572EE4">
            <w:pPr>
              <w:pStyle w:val="TableBodyText"/>
              <w:jc w:val="center"/>
              <w:cnfStyle w:val="100000000000" w:firstRow="1" w:lastRow="0" w:firstColumn="0" w:lastColumn="0" w:oddVBand="0" w:evenVBand="0" w:oddHBand="0" w:evenHBand="0" w:firstRowFirstColumn="0" w:firstRowLastColumn="0" w:lastRowFirstColumn="0" w:lastRowLastColumn="0"/>
            </w:pPr>
            <w:r w:rsidRPr="00C15ED6">
              <w:t>Roseau Total Transport Cost</w:t>
            </w:r>
            <w:r w:rsidR="00F03875">
              <w:t xml:space="preserve"> ($)</w:t>
            </w:r>
          </w:p>
        </w:tc>
        <w:tc>
          <w:tcPr>
            <w:tcW w:w="1494" w:type="dxa"/>
            <w:vAlign w:val="bottom"/>
            <w:hideMark/>
          </w:tcPr>
          <w:p w14:paraId="002DB0CE" w14:textId="77777777" w:rsidR="00C15ED6" w:rsidRPr="00C15ED6" w:rsidRDefault="00C15ED6" w:rsidP="00572EE4">
            <w:pPr>
              <w:pStyle w:val="TableBodyText"/>
              <w:jc w:val="center"/>
              <w:cnfStyle w:val="100000000000" w:firstRow="1" w:lastRow="0" w:firstColumn="0" w:lastColumn="0" w:oddVBand="0" w:evenVBand="0" w:oddHBand="0" w:evenHBand="0" w:firstRowFirstColumn="0" w:firstRowLastColumn="0" w:lastRowFirstColumn="0" w:lastRowLastColumn="0"/>
            </w:pPr>
            <w:r w:rsidRPr="00C15ED6">
              <w:t>Monte</w:t>
            </w:r>
            <w:r w:rsidR="005D198A">
              <w:t>r</w:t>
            </w:r>
            <w:r w:rsidRPr="00C15ED6">
              <w:t>rey Total Transport Cost</w:t>
            </w:r>
            <w:r w:rsidR="00F03875">
              <w:t xml:space="preserve"> ($)</w:t>
            </w:r>
          </w:p>
        </w:tc>
      </w:tr>
      <w:tr w:rsidR="00572EE4" w:rsidRPr="00C15ED6" w14:paraId="0E698F72" w14:textId="77777777" w:rsidTr="00F03875">
        <w:trPr>
          <w:cantSplit w:val="0"/>
          <w:trHeight w:val="20"/>
        </w:trPr>
        <w:tc>
          <w:tcPr>
            <w:cnfStyle w:val="001000000000" w:firstRow="0" w:lastRow="0" w:firstColumn="1" w:lastColumn="0" w:oddVBand="0" w:evenVBand="0" w:oddHBand="0" w:evenHBand="0" w:firstRowFirstColumn="0" w:firstRowLastColumn="0" w:lastRowFirstColumn="0" w:lastRowLastColumn="0"/>
            <w:tcW w:w="1170" w:type="dxa"/>
            <w:noWrap/>
            <w:hideMark/>
          </w:tcPr>
          <w:p w14:paraId="2233F40C" w14:textId="77777777" w:rsidR="00C15ED6" w:rsidRPr="00C15ED6" w:rsidRDefault="00C15ED6" w:rsidP="00C15ED6">
            <w:pPr>
              <w:pStyle w:val="TableBodyText"/>
            </w:pPr>
            <w:r w:rsidRPr="00C15ED6">
              <w:t> </w:t>
            </w:r>
          </w:p>
        </w:tc>
        <w:tc>
          <w:tcPr>
            <w:tcW w:w="1494" w:type="dxa"/>
            <w:noWrap/>
            <w:hideMark/>
          </w:tcPr>
          <w:p w14:paraId="3E262A94" w14:textId="77777777" w:rsidR="00C15ED6" w:rsidRPr="00C15ED6" w:rsidRDefault="00C15ED6" w:rsidP="00C15ED6">
            <w:pPr>
              <w:pStyle w:val="TableBodyText"/>
              <w:cnfStyle w:val="000000000000" w:firstRow="0" w:lastRow="0" w:firstColumn="0" w:lastColumn="0" w:oddVBand="0" w:evenVBand="0" w:oddHBand="0" w:evenHBand="0" w:firstRowFirstColumn="0" w:firstRowLastColumn="0" w:lastRowFirstColumn="0" w:lastRowLastColumn="0"/>
            </w:pPr>
            <w:r w:rsidRPr="00C15ED6">
              <w:t>Tacoma, WA</w:t>
            </w:r>
          </w:p>
        </w:tc>
        <w:tc>
          <w:tcPr>
            <w:tcW w:w="1494" w:type="dxa"/>
            <w:noWrap/>
            <w:hideMark/>
          </w:tcPr>
          <w:p w14:paraId="593C4EC6" w14:textId="77777777" w:rsidR="00C15ED6" w:rsidRPr="00C15ED6" w:rsidRDefault="00C15ED6" w:rsidP="00F03875">
            <w:pPr>
              <w:pStyle w:val="TableBodyText"/>
              <w:ind w:left="-198" w:right="308"/>
              <w:jc w:val="right"/>
              <w:cnfStyle w:val="000000000000" w:firstRow="0" w:lastRow="0" w:firstColumn="0" w:lastColumn="0" w:oddVBand="0" w:evenVBand="0" w:oddHBand="0" w:evenHBand="0" w:firstRowFirstColumn="0" w:firstRowLastColumn="0" w:lastRowFirstColumn="0" w:lastRowLastColumn="0"/>
            </w:pPr>
            <w:r w:rsidRPr="00C15ED6">
              <w:t xml:space="preserve">3,650 </w:t>
            </w:r>
          </w:p>
        </w:tc>
        <w:tc>
          <w:tcPr>
            <w:tcW w:w="1494" w:type="dxa"/>
            <w:noWrap/>
            <w:hideMark/>
          </w:tcPr>
          <w:p w14:paraId="79A6E80E" w14:textId="77777777" w:rsidR="00C15ED6" w:rsidRPr="00C15ED6" w:rsidRDefault="00C15ED6" w:rsidP="00F03875">
            <w:pPr>
              <w:pStyle w:val="TableBodyText"/>
              <w:ind w:left="-378" w:right="470"/>
              <w:jc w:val="right"/>
              <w:cnfStyle w:val="000000000000" w:firstRow="0" w:lastRow="0" w:firstColumn="0" w:lastColumn="0" w:oddVBand="0" w:evenVBand="0" w:oddHBand="0" w:evenHBand="0" w:firstRowFirstColumn="0" w:firstRowLastColumn="0" w:lastRowFirstColumn="0" w:lastRowLastColumn="0"/>
            </w:pPr>
            <w:r w:rsidRPr="00C15ED6">
              <w:t>140</w:t>
            </w:r>
          </w:p>
        </w:tc>
        <w:tc>
          <w:tcPr>
            <w:tcW w:w="1494" w:type="dxa"/>
            <w:noWrap/>
            <w:hideMark/>
          </w:tcPr>
          <w:p w14:paraId="13215108" w14:textId="77777777" w:rsidR="00C15ED6" w:rsidRPr="00C15ED6" w:rsidRDefault="00C15ED6" w:rsidP="00F03875">
            <w:pPr>
              <w:pStyle w:val="TableBodyText"/>
              <w:ind w:right="299"/>
              <w:jc w:val="right"/>
              <w:cnfStyle w:val="000000000000" w:firstRow="0" w:lastRow="0" w:firstColumn="0" w:lastColumn="0" w:oddVBand="0" w:evenVBand="0" w:oddHBand="0" w:evenHBand="0" w:firstRowFirstColumn="0" w:firstRowLastColumn="0" w:lastRowFirstColumn="0" w:lastRowLastColumn="0"/>
            </w:pPr>
            <w:r w:rsidRPr="00C15ED6">
              <w:t xml:space="preserve">528,239 </w:t>
            </w:r>
          </w:p>
        </w:tc>
        <w:tc>
          <w:tcPr>
            <w:tcW w:w="1494" w:type="dxa"/>
            <w:noWrap/>
            <w:hideMark/>
          </w:tcPr>
          <w:p w14:paraId="002E61C6" w14:textId="77777777" w:rsidR="00C15ED6" w:rsidRPr="00C15ED6" w:rsidRDefault="00C15ED6" w:rsidP="00F03875">
            <w:pPr>
              <w:pStyle w:val="TableBodyText"/>
              <w:ind w:right="281"/>
              <w:jc w:val="right"/>
              <w:cnfStyle w:val="000000000000" w:firstRow="0" w:lastRow="0" w:firstColumn="0" w:lastColumn="0" w:oddVBand="0" w:evenVBand="0" w:oddHBand="0" w:evenHBand="0" w:firstRowFirstColumn="0" w:firstRowLastColumn="0" w:lastRowFirstColumn="0" w:lastRowLastColumn="0"/>
            </w:pPr>
            <w:r w:rsidRPr="00C15ED6">
              <w:t xml:space="preserve">730,042 </w:t>
            </w:r>
          </w:p>
        </w:tc>
      </w:tr>
      <w:tr w:rsidR="00572EE4" w:rsidRPr="00C15ED6" w14:paraId="523634DA" w14:textId="77777777" w:rsidTr="005D198A">
        <w:trPr>
          <w:cantSplit w:val="0"/>
          <w:trHeight w:val="20"/>
        </w:trPr>
        <w:tc>
          <w:tcPr>
            <w:cnfStyle w:val="001000000000" w:firstRow="0" w:lastRow="0" w:firstColumn="1" w:lastColumn="0" w:oddVBand="0" w:evenVBand="0" w:oddHBand="0" w:evenHBand="0" w:firstRowFirstColumn="0" w:firstRowLastColumn="0" w:lastRowFirstColumn="0" w:lastRowLastColumn="0"/>
            <w:tcW w:w="1170" w:type="dxa"/>
            <w:noWrap/>
            <w:hideMark/>
          </w:tcPr>
          <w:p w14:paraId="02B0C9D5" w14:textId="77777777" w:rsidR="00C15ED6" w:rsidRPr="00C15ED6" w:rsidRDefault="00C15ED6" w:rsidP="00C15ED6">
            <w:pPr>
              <w:pStyle w:val="TableBodyText"/>
            </w:pPr>
            <w:r w:rsidRPr="00C15ED6">
              <w:t> </w:t>
            </w:r>
          </w:p>
        </w:tc>
        <w:tc>
          <w:tcPr>
            <w:tcW w:w="1494" w:type="dxa"/>
            <w:noWrap/>
            <w:hideMark/>
          </w:tcPr>
          <w:p w14:paraId="533BA1D0" w14:textId="77777777" w:rsidR="00C15ED6" w:rsidRPr="00C15ED6" w:rsidRDefault="00C15ED6" w:rsidP="00C15ED6">
            <w:pPr>
              <w:pStyle w:val="TableBodyText"/>
              <w:cnfStyle w:val="000000000000" w:firstRow="0" w:lastRow="0" w:firstColumn="0" w:lastColumn="0" w:oddVBand="0" w:evenVBand="0" w:oddHBand="0" w:evenHBand="0" w:firstRowFirstColumn="0" w:firstRowLastColumn="0" w:lastRowFirstColumn="0" w:lastRowLastColumn="0"/>
            </w:pPr>
            <w:r w:rsidRPr="00C15ED6">
              <w:t>Los Angeles</w:t>
            </w:r>
          </w:p>
        </w:tc>
        <w:tc>
          <w:tcPr>
            <w:tcW w:w="1494" w:type="dxa"/>
            <w:tcBorders>
              <w:bottom w:val="nil"/>
            </w:tcBorders>
            <w:noWrap/>
            <w:hideMark/>
          </w:tcPr>
          <w:p w14:paraId="31BB85C2" w14:textId="77777777" w:rsidR="00C15ED6" w:rsidRPr="00C15ED6" w:rsidRDefault="00C15ED6" w:rsidP="00F03875">
            <w:pPr>
              <w:pStyle w:val="TableBodyText"/>
              <w:ind w:left="-198" w:right="308"/>
              <w:jc w:val="right"/>
              <w:cnfStyle w:val="000000000000" w:firstRow="0" w:lastRow="0" w:firstColumn="0" w:lastColumn="0" w:oddVBand="0" w:evenVBand="0" w:oddHBand="0" w:evenHBand="0" w:firstRowFirstColumn="0" w:firstRowLastColumn="0" w:lastRowFirstColumn="0" w:lastRowLastColumn="0"/>
            </w:pPr>
            <w:r w:rsidRPr="00C15ED6">
              <w:t xml:space="preserve">7,050 </w:t>
            </w:r>
          </w:p>
        </w:tc>
        <w:tc>
          <w:tcPr>
            <w:tcW w:w="1494" w:type="dxa"/>
            <w:tcBorders>
              <w:bottom w:val="nil"/>
            </w:tcBorders>
            <w:noWrap/>
            <w:hideMark/>
          </w:tcPr>
          <w:p w14:paraId="02073454" w14:textId="77777777" w:rsidR="00C15ED6" w:rsidRPr="00C15ED6" w:rsidRDefault="00C15ED6" w:rsidP="00F03875">
            <w:pPr>
              <w:pStyle w:val="TableBodyText"/>
              <w:ind w:left="-378" w:right="470"/>
              <w:jc w:val="right"/>
              <w:cnfStyle w:val="000000000000" w:firstRow="0" w:lastRow="0" w:firstColumn="0" w:lastColumn="0" w:oddVBand="0" w:evenVBand="0" w:oddHBand="0" w:evenHBand="0" w:firstRowFirstColumn="0" w:firstRowLastColumn="0" w:lastRowFirstColumn="0" w:lastRowLastColumn="0"/>
            </w:pPr>
            <w:r w:rsidRPr="00C15ED6">
              <w:t>271</w:t>
            </w:r>
          </w:p>
        </w:tc>
        <w:tc>
          <w:tcPr>
            <w:tcW w:w="1494" w:type="dxa"/>
            <w:tcBorders>
              <w:bottom w:val="nil"/>
            </w:tcBorders>
            <w:noWrap/>
            <w:hideMark/>
          </w:tcPr>
          <w:p w14:paraId="696F2D9D" w14:textId="77777777" w:rsidR="00C15ED6" w:rsidRPr="00C15ED6" w:rsidRDefault="00C15ED6" w:rsidP="00F03875">
            <w:pPr>
              <w:pStyle w:val="TableBodyText"/>
              <w:ind w:right="299"/>
              <w:jc w:val="right"/>
              <w:cnfStyle w:val="000000000000" w:firstRow="0" w:lastRow="0" w:firstColumn="0" w:lastColumn="0" w:oddVBand="0" w:evenVBand="0" w:oddHBand="0" w:evenHBand="0" w:firstRowFirstColumn="0" w:firstRowLastColumn="0" w:lastRowFirstColumn="0" w:lastRowLastColumn="0"/>
            </w:pPr>
            <w:r w:rsidRPr="00C15ED6">
              <w:t xml:space="preserve">1,347,716 </w:t>
            </w:r>
          </w:p>
        </w:tc>
        <w:tc>
          <w:tcPr>
            <w:tcW w:w="1494" w:type="dxa"/>
            <w:tcBorders>
              <w:bottom w:val="nil"/>
            </w:tcBorders>
            <w:noWrap/>
            <w:hideMark/>
          </w:tcPr>
          <w:p w14:paraId="6935DB98" w14:textId="77777777" w:rsidR="00C15ED6" w:rsidRPr="00C15ED6" w:rsidRDefault="00C15ED6" w:rsidP="00F03875">
            <w:pPr>
              <w:pStyle w:val="TableBodyText"/>
              <w:ind w:right="281"/>
              <w:jc w:val="right"/>
              <w:cnfStyle w:val="000000000000" w:firstRow="0" w:lastRow="0" w:firstColumn="0" w:lastColumn="0" w:oddVBand="0" w:evenVBand="0" w:oddHBand="0" w:evenHBand="0" w:firstRowFirstColumn="0" w:firstRowLastColumn="0" w:lastRowFirstColumn="0" w:lastRowLastColumn="0"/>
            </w:pPr>
            <w:r w:rsidRPr="00C15ED6">
              <w:t xml:space="preserve">938,599 </w:t>
            </w:r>
          </w:p>
        </w:tc>
      </w:tr>
      <w:tr w:rsidR="00572EE4" w:rsidRPr="00C15ED6" w14:paraId="03A1FAB8" w14:textId="77777777" w:rsidTr="005D198A">
        <w:trPr>
          <w:cantSplit w:val="0"/>
          <w:trHeight w:val="20"/>
        </w:trPr>
        <w:tc>
          <w:tcPr>
            <w:cnfStyle w:val="001000000000" w:firstRow="0" w:lastRow="0" w:firstColumn="1" w:lastColumn="0" w:oddVBand="0" w:evenVBand="0" w:oddHBand="0" w:evenHBand="0" w:firstRowFirstColumn="0" w:firstRowLastColumn="0" w:lastRowFirstColumn="0" w:lastRowLastColumn="0"/>
            <w:tcW w:w="1170" w:type="dxa"/>
            <w:noWrap/>
            <w:hideMark/>
          </w:tcPr>
          <w:p w14:paraId="049678D9" w14:textId="77777777" w:rsidR="00C15ED6" w:rsidRPr="00C15ED6" w:rsidRDefault="00C15ED6" w:rsidP="00C15ED6">
            <w:pPr>
              <w:pStyle w:val="TableBodyText"/>
            </w:pPr>
            <w:r w:rsidRPr="00C15ED6">
              <w:t> </w:t>
            </w:r>
          </w:p>
        </w:tc>
        <w:tc>
          <w:tcPr>
            <w:tcW w:w="1494" w:type="dxa"/>
            <w:noWrap/>
            <w:hideMark/>
          </w:tcPr>
          <w:p w14:paraId="1BA6D4A8" w14:textId="77777777" w:rsidR="00C15ED6" w:rsidRPr="00C15ED6" w:rsidRDefault="00C15ED6" w:rsidP="00C15ED6">
            <w:pPr>
              <w:pStyle w:val="TableBodyText"/>
              <w:cnfStyle w:val="000000000000" w:firstRow="0" w:lastRow="0" w:firstColumn="0" w:lastColumn="0" w:oddVBand="0" w:evenVBand="0" w:oddHBand="0" w:evenHBand="0" w:firstRowFirstColumn="0" w:firstRowLastColumn="0" w:lastRowFirstColumn="0" w:lastRowLastColumn="0"/>
            </w:pPr>
            <w:r w:rsidRPr="00C15ED6">
              <w:t>Irving, TX</w:t>
            </w:r>
          </w:p>
        </w:tc>
        <w:tc>
          <w:tcPr>
            <w:tcW w:w="1494" w:type="dxa"/>
            <w:tcBorders>
              <w:bottom w:val="single" w:sz="4" w:space="0" w:color="auto"/>
            </w:tcBorders>
            <w:noWrap/>
            <w:hideMark/>
          </w:tcPr>
          <w:p w14:paraId="6A38F0DE" w14:textId="77777777" w:rsidR="00C15ED6" w:rsidRPr="00C15ED6" w:rsidRDefault="00C15ED6" w:rsidP="00F03875">
            <w:pPr>
              <w:pStyle w:val="TableBodyText"/>
              <w:ind w:left="-198" w:right="308"/>
              <w:jc w:val="right"/>
              <w:cnfStyle w:val="000000000000" w:firstRow="0" w:lastRow="0" w:firstColumn="0" w:lastColumn="0" w:oddVBand="0" w:evenVBand="0" w:oddHBand="0" w:evenHBand="0" w:firstRowFirstColumn="0" w:firstRowLastColumn="0" w:lastRowFirstColumn="0" w:lastRowLastColumn="0"/>
            </w:pPr>
            <w:r w:rsidRPr="00C15ED6">
              <w:t xml:space="preserve">3,800 </w:t>
            </w:r>
          </w:p>
        </w:tc>
        <w:tc>
          <w:tcPr>
            <w:tcW w:w="1494" w:type="dxa"/>
            <w:tcBorders>
              <w:bottom w:val="single" w:sz="4" w:space="0" w:color="auto"/>
            </w:tcBorders>
            <w:noWrap/>
            <w:hideMark/>
          </w:tcPr>
          <w:p w14:paraId="257D6B90" w14:textId="77777777" w:rsidR="00C15ED6" w:rsidRPr="00C15ED6" w:rsidRDefault="00C15ED6" w:rsidP="00F03875">
            <w:pPr>
              <w:pStyle w:val="TableBodyText"/>
              <w:ind w:left="-378" w:right="470"/>
              <w:jc w:val="right"/>
              <w:cnfStyle w:val="000000000000" w:firstRow="0" w:lastRow="0" w:firstColumn="0" w:lastColumn="0" w:oddVBand="0" w:evenVBand="0" w:oddHBand="0" w:evenHBand="0" w:firstRowFirstColumn="0" w:firstRowLastColumn="0" w:lastRowFirstColumn="0" w:lastRowLastColumn="0"/>
            </w:pPr>
            <w:r w:rsidRPr="00C15ED6">
              <w:t>146</w:t>
            </w:r>
          </w:p>
        </w:tc>
        <w:tc>
          <w:tcPr>
            <w:tcW w:w="1494" w:type="dxa"/>
            <w:tcBorders>
              <w:bottom w:val="single" w:sz="4" w:space="0" w:color="auto"/>
            </w:tcBorders>
            <w:noWrap/>
            <w:hideMark/>
          </w:tcPr>
          <w:p w14:paraId="579430E7" w14:textId="77777777" w:rsidR="00C15ED6" w:rsidRPr="00C15ED6" w:rsidRDefault="00C15ED6" w:rsidP="00F03875">
            <w:pPr>
              <w:pStyle w:val="TableBodyText"/>
              <w:ind w:right="299"/>
              <w:jc w:val="right"/>
              <w:cnfStyle w:val="000000000000" w:firstRow="0" w:lastRow="0" w:firstColumn="0" w:lastColumn="0" w:oddVBand="0" w:evenVBand="0" w:oddHBand="0" w:evenHBand="0" w:firstRowFirstColumn="0" w:firstRowLastColumn="0" w:lastRowFirstColumn="0" w:lastRowLastColumn="0"/>
            </w:pPr>
            <w:r w:rsidRPr="00C15ED6">
              <w:t xml:space="preserve">425,907 </w:t>
            </w:r>
          </w:p>
        </w:tc>
        <w:tc>
          <w:tcPr>
            <w:tcW w:w="1494" w:type="dxa"/>
            <w:tcBorders>
              <w:bottom w:val="single" w:sz="4" w:space="0" w:color="auto"/>
            </w:tcBorders>
            <w:noWrap/>
            <w:hideMark/>
          </w:tcPr>
          <w:p w14:paraId="6B24F398" w14:textId="77777777" w:rsidR="00C15ED6" w:rsidRPr="00C15ED6" w:rsidRDefault="00C15ED6" w:rsidP="00F03875">
            <w:pPr>
              <w:pStyle w:val="TableBodyText"/>
              <w:ind w:right="281"/>
              <w:jc w:val="right"/>
              <w:cnfStyle w:val="000000000000" w:firstRow="0" w:lastRow="0" w:firstColumn="0" w:lastColumn="0" w:oddVBand="0" w:evenVBand="0" w:oddHBand="0" w:evenHBand="0" w:firstRowFirstColumn="0" w:firstRowLastColumn="0" w:lastRowFirstColumn="0" w:lastRowLastColumn="0"/>
            </w:pPr>
            <w:r w:rsidRPr="00C15ED6">
              <w:t xml:space="preserve">146,899 </w:t>
            </w:r>
          </w:p>
        </w:tc>
      </w:tr>
      <w:tr w:rsidR="00572EE4" w:rsidRPr="00C15ED6" w14:paraId="1AD5B83B" w14:textId="77777777" w:rsidTr="005D198A">
        <w:trPr>
          <w:cantSplit w:val="0"/>
          <w:trHeight w:val="20"/>
        </w:trPr>
        <w:tc>
          <w:tcPr>
            <w:cnfStyle w:val="001000000000" w:firstRow="0" w:lastRow="0" w:firstColumn="1" w:lastColumn="0" w:oddVBand="0" w:evenVBand="0" w:oddHBand="0" w:evenHBand="0" w:firstRowFirstColumn="0" w:firstRowLastColumn="0" w:lastRowFirstColumn="0" w:lastRowLastColumn="0"/>
            <w:tcW w:w="1170" w:type="dxa"/>
            <w:noWrap/>
            <w:hideMark/>
          </w:tcPr>
          <w:p w14:paraId="781C18EA" w14:textId="77777777" w:rsidR="00C15ED6" w:rsidRPr="00C15ED6" w:rsidRDefault="00C15ED6" w:rsidP="00C15ED6">
            <w:pPr>
              <w:pStyle w:val="TableBodyText"/>
            </w:pPr>
            <w:r w:rsidRPr="00C15ED6">
              <w:t> </w:t>
            </w:r>
          </w:p>
        </w:tc>
        <w:tc>
          <w:tcPr>
            <w:tcW w:w="1494" w:type="dxa"/>
            <w:noWrap/>
            <w:hideMark/>
          </w:tcPr>
          <w:p w14:paraId="68F4D26D" w14:textId="77777777" w:rsidR="00C15ED6" w:rsidRPr="00C15ED6" w:rsidRDefault="00C15ED6" w:rsidP="00C15ED6">
            <w:pPr>
              <w:pStyle w:val="TableBodyText"/>
              <w:cnfStyle w:val="000000000000" w:firstRow="0" w:lastRow="0" w:firstColumn="0" w:lastColumn="0" w:oddVBand="0" w:evenVBand="0" w:oddHBand="0" w:evenHBand="0" w:firstRowFirstColumn="0" w:firstRowLastColumn="0" w:lastRowFirstColumn="0" w:lastRowLastColumn="0"/>
            </w:pPr>
          </w:p>
        </w:tc>
        <w:tc>
          <w:tcPr>
            <w:tcW w:w="1494" w:type="dxa"/>
            <w:tcBorders>
              <w:top w:val="single" w:sz="4" w:space="0" w:color="auto"/>
            </w:tcBorders>
            <w:noWrap/>
            <w:hideMark/>
          </w:tcPr>
          <w:p w14:paraId="13397E89" w14:textId="77777777" w:rsidR="00C15ED6" w:rsidRPr="00C15ED6" w:rsidRDefault="00C15ED6" w:rsidP="00F03875">
            <w:pPr>
              <w:pStyle w:val="TableBodyText"/>
              <w:ind w:left="-198" w:right="308"/>
              <w:jc w:val="right"/>
              <w:cnfStyle w:val="000000000000" w:firstRow="0" w:lastRow="0" w:firstColumn="0" w:lastColumn="0" w:oddVBand="0" w:evenVBand="0" w:oddHBand="0" w:evenHBand="0" w:firstRowFirstColumn="0" w:firstRowLastColumn="0" w:lastRowFirstColumn="0" w:lastRowLastColumn="0"/>
            </w:pPr>
            <w:r w:rsidRPr="00C15ED6">
              <w:t xml:space="preserve">14,500 </w:t>
            </w:r>
          </w:p>
        </w:tc>
        <w:tc>
          <w:tcPr>
            <w:tcW w:w="1494" w:type="dxa"/>
            <w:tcBorders>
              <w:top w:val="single" w:sz="4" w:space="0" w:color="auto"/>
            </w:tcBorders>
            <w:noWrap/>
            <w:hideMark/>
          </w:tcPr>
          <w:p w14:paraId="1FB80691" w14:textId="77777777" w:rsidR="00C15ED6" w:rsidRPr="00C15ED6" w:rsidRDefault="00C15ED6" w:rsidP="00F03875">
            <w:pPr>
              <w:pStyle w:val="TableBodyText"/>
              <w:ind w:left="-378" w:right="470"/>
              <w:jc w:val="right"/>
              <w:cnfStyle w:val="000000000000" w:firstRow="0" w:lastRow="0" w:firstColumn="0" w:lastColumn="0" w:oddVBand="0" w:evenVBand="0" w:oddHBand="0" w:evenHBand="0" w:firstRowFirstColumn="0" w:firstRowLastColumn="0" w:lastRowFirstColumn="0" w:lastRowLastColumn="0"/>
            </w:pPr>
            <w:r w:rsidRPr="00C15ED6">
              <w:t>558</w:t>
            </w:r>
          </w:p>
        </w:tc>
        <w:tc>
          <w:tcPr>
            <w:tcW w:w="1494" w:type="dxa"/>
            <w:tcBorders>
              <w:top w:val="single" w:sz="4" w:space="0" w:color="auto"/>
            </w:tcBorders>
            <w:noWrap/>
            <w:hideMark/>
          </w:tcPr>
          <w:p w14:paraId="71E0B660" w14:textId="77777777" w:rsidR="00C15ED6" w:rsidRPr="00C15ED6" w:rsidRDefault="00C15ED6" w:rsidP="00F03875">
            <w:pPr>
              <w:pStyle w:val="TableBodyText"/>
              <w:ind w:right="299"/>
              <w:jc w:val="right"/>
              <w:cnfStyle w:val="000000000000" w:firstRow="0" w:lastRow="0" w:firstColumn="0" w:lastColumn="0" w:oddVBand="0" w:evenVBand="0" w:oddHBand="0" w:evenHBand="0" w:firstRowFirstColumn="0" w:firstRowLastColumn="0" w:lastRowFirstColumn="0" w:lastRowLastColumn="0"/>
            </w:pPr>
            <w:r w:rsidRPr="00C15ED6">
              <w:t xml:space="preserve">2,301,862 </w:t>
            </w:r>
          </w:p>
        </w:tc>
        <w:tc>
          <w:tcPr>
            <w:tcW w:w="1494" w:type="dxa"/>
            <w:tcBorders>
              <w:top w:val="single" w:sz="4" w:space="0" w:color="auto"/>
            </w:tcBorders>
            <w:noWrap/>
            <w:hideMark/>
          </w:tcPr>
          <w:p w14:paraId="54C16893" w14:textId="77777777" w:rsidR="00C15ED6" w:rsidRPr="00C15ED6" w:rsidRDefault="00C15ED6" w:rsidP="00F03875">
            <w:pPr>
              <w:pStyle w:val="TableBodyText"/>
              <w:ind w:right="281"/>
              <w:jc w:val="right"/>
              <w:cnfStyle w:val="000000000000" w:firstRow="0" w:lastRow="0" w:firstColumn="0" w:lastColumn="0" w:oddVBand="0" w:evenVBand="0" w:oddHBand="0" w:evenHBand="0" w:firstRowFirstColumn="0" w:firstRowLastColumn="0" w:lastRowFirstColumn="0" w:lastRowLastColumn="0"/>
            </w:pPr>
            <w:r w:rsidRPr="00C15ED6">
              <w:t xml:space="preserve">1,815,540 </w:t>
            </w:r>
          </w:p>
        </w:tc>
      </w:tr>
      <w:tr w:rsidR="00F03875" w:rsidRPr="00C15ED6" w14:paraId="2DF04A30" w14:textId="77777777" w:rsidTr="00F03875">
        <w:trPr>
          <w:cantSplit w:val="0"/>
          <w:trHeight w:val="20"/>
        </w:trPr>
        <w:tc>
          <w:tcPr>
            <w:cnfStyle w:val="001000000000" w:firstRow="0" w:lastRow="0" w:firstColumn="1" w:lastColumn="0" w:oddVBand="0" w:evenVBand="0" w:oddHBand="0" w:evenHBand="0" w:firstRowFirstColumn="0" w:firstRowLastColumn="0" w:lastRowFirstColumn="0" w:lastRowLastColumn="0"/>
            <w:tcW w:w="1170" w:type="dxa"/>
            <w:noWrap/>
          </w:tcPr>
          <w:p w14:paraId="14096755" w14:textId="77777777" w:rsidR="00F03875" w:rsidRPr="00C15ED6" w:rsidRDefault="00F03875" w:rsidP="00C15ED6">
            <w:pPr>
              <w:pStyle w:val="TableBodyText"/>
            </w:pPr>
          </w:p>
        </w:tc>
        <w:tc>
          <w:tcPr>
            <w:tcW w:w="1494" w:type="dxa"/>
            <w:noWrap/>
          </w:tcPr>
          <w:p w14:paraId="47CDEEB0" w14:textId="77777777" w:rsidR="00F03875" w:rsidRPr="00C15ED6" w:rsidRDefault="00F03875" w:rsidP="00C15ED6">
            <w:pPr>
              <w:pStyle w:val="TableBodyText"/>
              <w:cnfStyle w:val="000000000000" w:firstRow="0" w:lastRow="0" w:firstColumn="0" w:lastColumn="0" w:oddVBand="0" w:evenVBand="0" w:oddHBand="0" w:evenHBand="0" w:firstRowFirstColumn="0" w:firstRowLastColumn="0" w:lastRowFirstColumn="0" w:lastRowLastColumn="0"/>
            </w:pPr>
          </w:p>
        </w:tc>
        <w:tc>
          <w:tcPr>
            <w:tcW w:w="1494" w:type="dxa"/>
            <w:noWrap/>
          </w:tcPr>
          <w:p w14:paraId="424AA25D" w14:textId="77777777" w:rsidR="00F03875" w:rsidRPr="00C15ED6" w:rsidRDefault="00F03875" w:rsidP="00F03875">
            <w:pPr>
              <w:pStyle w:val="TableBodyText"/>
              <w:ind w:left="-198" w:right="308"/>
              <w:jc w:val="right"/>
              <w:cnfStyle w:val="000000000000" w:firstRow="0" w:lastRow="0" w:firstColumn="0" w:lastColumn="0" w:oddVBand="0" w:evenVBand="0" w:oddHBand="0" w:evenHBand="0" w:firstRowFirstColumn="0" w:firstRowLastColumn="0" w:lastRowFirstColumn="0" w:lastRowLastColumn="0"/>
            </w:pPr>
          </w:p>
        </w:tc>
        <w:tc>
          <w:tcPr>
            <w:tcW w:w="1494" w:type="dxa"/>
            <w:noWrap/>
          </w:tcPr>
          <w:p w14:paraId="4443AE1D" w14:textId="77777777" w:rsidR="00F03875" w:rsidRPr="00C15ED6" w:rsidRDefault="00F03875" w:rsidP="00F03875">
            <w:pPr>
              <w:pStyle w:val="TableBodyText"/>
              <w:ind w:left="-378" w:right="470"/>
              <w:jc w:val="right"/>
              <w:cnfStyle w:val="000000000000" w:firstRow="0" w:lastRow="0" w:firstColumn="0" w:lastColumn="0" w:oddVBand="0" w:evenVBand="0" w:oddHBand="0" w:evenHBand="0" w:firstRowFirstColumn="0" w:firstRowLastColumn="0" w:lastRowFirstColumn="0" w:lastRowLastColumn="0"/>
            </w:pPr>
          </w:p>
        </w:tc>
        <w:tc>
          <w:tcPr>
            <w:tcW w:w="1494" w:type="dxa"/>
            <w:noWrap/>
          </w:tcPr>
          <w:p w14:paraId="737B70B0" w14:textId="77777777" w:rsidR="00F03875" w:rsidRPr="00C15ED6" w:rsidRDefault="00F03875" w:rsidP="00F03875">
            <w:pPr>
              <w:pStyle w:val="TableBodyText"/>
              <w:ind w:right="299"/>
              <w:jc w:val="right"/>
              <w:cnfStyle w:val="000000000000" w:firstRow="0" w:lastRow="0" w:firstColumn="0" w:lastColumn="0" w:oddVBand="0" w:evenVBand="0" w:oddHBand="0" w:evenHBand="0" w:firstRowFirstColumn="0" w:firstRowLastColumn="0" w:lastRowFirstColumn="0" w:lastRowLastColumn="0"/>
            </w:pPr>
          </w:p>
        </w:tc>
        <w:tc>
          <w:tcPr>
            <w:tcW w:w="1494" w:type="dxa"/>
            <w:noWrap/>
          </w:tcPr>
          <w:p w14:paraId="619F0E31" w14:textId="77777777" w:rsidR="00F03875" w:rsidRPr="00C15ED6" w:rsidRDefault="00F03875" w:rsidP="00F03875">
            <w:pPr>
              <w:pStyle w:val="TableBodyText"/>
              <w:ind w:right="281"/>
              <w:jc w:val="right"/>
              <w:cnfStyle w:val="000000000000" w:firstRow="0" w:lastRow="0" w:firstColumn="0" w:lastColumn="0" w:oddVBand="0" w:evenVBand="0" w:oddHBand="0" w:evenHBand="0" w:firstRowFirstColumn="0" w:firstRowLastColumn="0" w:lastRowFirstColumn="0" w:lastRowLastColumn="0"/>
            </w:pPr>
          </w:p>
        </w:tc>
      </w:tr>
      <w:tr w:rsidR="00572EE4" w:rsidRPr="00C15ED6" w14:paraId="5977789D" w14:textId="77777777" w:rsidTr="00F03875">
        <w:trPr>
          <w:cantSplit w:val="0"/>
          <w:trHeight w:val="20"/>
        </w:trPr>
        <w:tc>
          <w:tcPr>
            <w:cnfStyle w:val="001000000000" w:firstRow="0" w:lastRow="0" w:firstColumn="1" w:lastColumn="0" w:oddVBand="0" w:evenVBand="0" w:oddHBand="0" w:evenHBand="0" w:firstRowFirstColumn="0" w:firstRowLastColumn="0" w:lastRowFirstColumn="0" w:lastRowLastColumn="0"/>
            <w:tcW w:w="1170" w:type="dxa"/>
            <w:noWrap/>
            <w:hideMark/>
          </w:tcPr>
          <w:p w14:paraId="765AEBDA" w14:textId="77777777" w:rsidR="00C15ED6" w:rsidRPr="00C15ED6" w:rsidRDefault="00C15ED6" w:rsidP="00572EE4">
            <w:pPr>
              <w:pStyle w:val="TableBodyText"/>
            </w:pPr>
            <w:r w:rsidRPr="00C15ED6">
              <w:t xml:space="preserve">Cost per </w:t>
            </w:r>
            <w:r w:rsidR="00572EE4">
              <w:t>u</w:t>
            </w:r>
            <w:r w:rsidRPr="00C15ED6">
              <w:t>nit</w:t>
            </w:r>
          </w:p>
        </w:tc>
        <w:tc>
          <w:tcPr>
            <w:tcW w:w="1494" w:type="dxa"/>
            <w:noWrap/>
            <w:hideMark/>
          </w:tcPr>
          <w:p w14:paraId="1916F0ED" w14:textId="77777777" w:rsidR="00C15ED6" w:rsidRPr="00C15ED6" w:rsidRDefault="00C15ED6" w:rsidP="00C15ED6">
            <w:pPr>
              <w:pStyle w:val="TableBodyText"/>
              <w:cnfStyle w:val="000000000000" w:firstRow="0" w:lastRow="0" w:firstColumn="0" w:lastColumn="0" w:oddVBand="0" w:evenVBand="0" w:oddHBand="0" w:evenHBand="0" w:firstRowFirstColumn="0" w:firstRowLastColumn="0" w:lastRowFirstColumn="0" w:lastRowLastColumn="0"/>
            </w:pPr>
            <w:r w:rsidRPr="00C15ED6">
              <w:t> </w:t>
            </w:r>
          </w:p>
        </w:tc>
        <w:tc>
          <w:tcPr>
            <w:tcW w:w="1494" w:type="dxa"/>
            <w:noWrap/>
            <w:hideMark/>
          </w:tcPr>
          <w:p w14:paraId="202568C6" w14:textId="77777777" w:rsidR="00C15ED6" w:rsidRPr="00C15ED6" w:rsidRDefault="00C15ED6" w:rsidP="00F03875">
            <w:pPr>
              <w:pStyle w:val="TableBodyText"/>
              <w:ind w:left="-198" w:right="308"/>
              <w:jc w:val="right"/>
              <w:cnfStyle w:val="000000000000" w:firstRow="0" w:lastRow="0" w:firstColumn="0" w:lastColumn="0" w:oddVBand="0" w:evenVBand="0" w:oddHBand="0" w:evenHBand="0" w:firstRowFirstColumn="0" w:firstRowLastColumn="0" w:lastRowFirstColumn="0" w:lastRowLastColumn="0"/>
            </w:pPr>
            <w:r w:rsidRPr="00C15ED6">
              <w:t> </w:t>
            </w:r>
          </w:p>
        </w:tc>
        <w:tc>
          <w:tcPr>
            <w:tcW w:w="1494" w:type="dxa"/>
            <w:noWrap/>
            <w:hideMark/>
          </w:tcPr>
          <w:p w14:paraId="56314201" w14:textId="77777777" w:rsidR="00C15ED6" w:rsidRPr="00C15ED6" w:rsidRDefault="00C15ED6" w:rsidP="00F03875">
            <w:pPr>
              <w:pStyle w:val="TableBodyText"/>
              <w:ind w:left="-378" w:right="470"/>
              <w:jc w:val="right"/>
              <w:cnfStyle w:val="000000000000" w:firstRow="0" w:lastRow="0" w:firstColumn="0" w:lastColumn="0" w:oddVBand="0" w:evenVBand="0" w:oddHBand="0" w:evenHBand="0" w:firstRowFirstColumn="0" w:firstRowLastColumn="0" w:lastRowFirstColumn="0" w:lastRowLastColumn="0"/>
            </w:pPr>
            <w:r w:rsidRPr="00C15ED6">
              <w:t> </w:t>
            </w:r>
          </w:p>
        </w:tc>
        <w:tc>
          <w:tcPr>
            <w:tcW w:w="1494" w:type="dxa"/>
            <w:noWrap/>
            <w:hideMark/>
          </w:tcPr>
          <w:p w14:paraId="3ABE048B" w14:textId="77777777" w:rsidR="00C15ED6" w:rsidRPr="00C15ED6" w:rsidRDefault="00C15ED6" w:rsidP="00F03875">
            <w:pPr>
              <w:pStyle w:val="TableBodyText"/>
              <w:ind w:right="299"/>
              <w:jc w:val="right"/>
              <w:cnfStyle w:val="000000000000" w:firstRow="0" w:lastRow="0" w:firstColumn="0" w:lastColumn="0" w:oddVBand="0" w:evenVBand="0" w:oddHBand="0" w:evenHBand="0" w:firstRowFirstColumn="0" w:firstRowLastColumn="0" w:lastRowFirstColumn="0" w:lastRowLastColumn="0"/>
            </w:pPr>
            <w:r w:rsidRPr="00C15ED6">
              <w:t xml:space="preserve">158.75 </w:t>
            </w:r>
          </w:p>
        </w:tc>
        <w:tc>
          <w:tcPr>
            <w:tcW w:w="1494" w:type="dxa"/>
            <w:noWrap/>
            <w:hideMark/>
          </w:tcPr>
          <w:p w14:paraId="26C11CB8" w14:textId="77777777" w:rsidR="00C15ED6" w:rsidRPr="00C15ED6" w:rsidRDefault="00C15ED6" w:rsidP="00F03875">
            <w:pPr>
              <w:pStyle w:val="TableBodyText"/>
              <w:ind w:right="281"/>
              <w:jc w:val="right"/>
              <w:cnfStyle w:val="000000000000" w:firstRow="0" w:lastRow="0" w:firstColumn="0" w:lastColumn="0" w:oddVBand="0" w:evenVBand="0" w:oddHBand="0" w:evenHBand="0" w:firstRowFirstColumn="0" w:firstRowLastColumn="0" w:lastRowFirstColumn="0" w:lastRowLastColumn="0"/>
            </w:pPr>
            <w:r w:rsidRPr="00C15ED6">
              <w:t xml:space="preserve">125.21 </w:t>
            </w:r>
          </w:p>
        </w:tc>
      </w:tr>
    </w:tbl>
    <w:p w14:paraId="575AFA99" w14:textId="77777777" w:rsidR="00C15ED6" w:rsidRDefault="00C15ED6"/>
    <w:p w14:paraId="584C9812" w14:textId="77777777" w:rsidR="00FA4D0D" w:rsidRPr="00582DD9" w:rsidRDefault="00FA4D0D" w:rsidP="005D198A">
      <w:pPr>
        <w:pStyle w:val="BulletPoints"/>
        <w:numPr>
          <w:ilvl w:val="1"/>
          <w:numId w:val="2"/>
        </w:numPr>
        <w:spacing w:after="240"/>
        <w:ind w:left="1080"/>
      </w:pPr>
      <w:r w:rsidRPr="00582DD9">
        <w:lastRenderedPageBreak/>
        <w:t>Tariffs: if production is off-shored to China, the tariffs cost is:</w:t>
      </w:r>
    </w:p>
    <w:p w14:paraId="0D72D83D" w14:textId="77777777" w:rsidR="00FA4D0D" w:rsidRPr="00B94750" w:rsidRDefault="00B15CC3" w:rsidP="00381B57">
      <m:oMathPara>
        <m:oMathParaPr>
          <m:jc m:val="right"/>
        </m:oMathParaPr>
        <m:oMath>
          <m:r>
            <w:rPr>
              <w:rFonts w:ascii="Cambria Math" w:hAnsi="Cambria Math"/>
            </w:rPr>
            <m:t>Tariffs=5%×</m:t>
          </m:r>
          <m:d>
            <m:dPr>
              <m:ctrlPr>
                <w:rPr>
                  <w:rFonts w:ascii="Cambria Math" w:hAnsi="Cambria Math"/>
                  <w:i/>
                </w:rPr>
              </m:ctrlPr>
            </m:dPr>
            <m:e>
              <m:r>
                <w:rPr>
                  <w:rFonts w:ascii="Cambria Math" w:hAnsi="Cambria Math"/>
                </w:rPr>
                <m:t>Unit production cost+Unit transportation cost</m:t>
              </m:r>
            </m:e>
          </m:d>
          <m:r>
            <w:rPr>
              <w:rFonts w:ascii="Cambria Math" w:hAnsi="Cambria Math"/>
            </w:rPr>
            <m:t>×Annual demand</m:t>
          </m:r>
        </m:oMath>
      </m:oMathPara>
    </w:p>
    <w:p w14:paraId="09DE4CA4" w14:textId="77777777" w:rsidR="00FA4D0D" w:rsidRDefault="00FA4D0D" w:rsidP="00FA4D0D">
      <w:r w:rsidRPr="00582DD9">
        <w:t>In this case, transportation cost represents a high percentage of total cost</w:t>
      </w:r>
      <w:r>
        <w:t xml:space="preserve"> (excluding capital investment and severance)</w:t>
      </w:r>
      <w:r w:rsidRPr="00582DD9">
        <w:t xml:space="preserve"> compared to labor cost (as shown in </w:t>
      </w:r>
      <w:r w:rsidR="00736FA5">
        <w:t xml:space="preserve">the </w:t>
      </w:r>
      <w:r w:rsidRPr="00582DD9">
        <w:t>table below).</w:t>
      </w:r>
    </w:p>
    <w:tbl>
      <w:tblPr>
        <w:tblStyle w:val="TableGrid"/>
        <w:tblW w:w="8640" w:type="dxa"/>
        <w:tblInd w:w="115" w:type="dxa"/>
        <w:tblLook w:val="04A0" w:firstRow="1" w:lastRow="0" w:firstColumn="1" w:lastColumn="0" w:noHBand="0" w:noVBand="1"/>
      </w:tblPr>
      <w:tblGrid>
        <w:gridCol w:w="3557"/>
        <w:gridCol w:w="1694"/>
        <w:gridCol w:w="1694"/>
        <w:gridCol w:w="1695"/>
      </w:tblGrid>
      <w:tr w:rsidR="00F169B5" w:rsidRPr="00C02A89" w14:paraId="7676EEB9" w14:textId="77777777" w:rsidTr="002A1BB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57" w:type="dxa"/>
          </w:tcPr>
          <w:p w14:paraId="302EF710" w14:textId="77777777" w:rsidR="00F169B5" w:rsidRPr="00C02A89" w:rsidRDefault="00F169B5" w:rsidP="00C02A89">
            <w:pPr>
              <w:pStyle w:val="TableBodyText"/>
            </w:pPr>
          </w:p>
        </w:tc>
        <w:tc>
          <w:tcPr>
            <w:tcW w:w="1694" w:type="dxa"/>
          </w:tcPr>
          <w:p w14:paraId="14C8DF3B" w14:textId="77777777" w:rsidR="00F169B5" w:rsidRPr="00C02A89" w:rsidRDefault="00C02A89" w:rsidP="002A1BBE">
            <w:pPr>
              <w:pStyle w:val="TableBodyText"/>
              <w:jc w:val="center"/>
              <w:cnfStyle w:val="100000000000" w:firstRow="1" w:lastRow="0" w:firstColumn="0" w:lastColumn="0" w:oddVBand="0" w:evenVBand="0" w:oddHBand="0" w:evenHBand="0" w:firstRowFirstColumn="0" w:firstRowLastColumn="0" w:lastRowFirstColumn="0" w:lastRowLastColumn="0"/>
            </w:pPr>
            <w:r w:rsidRPr="00C02A89">
              <w:t>U</w:t>
            </w:r>
            <w:r w:rsidR="002A1BBE">
              <w:t>nited States</w:t>
            </w:r>
          </w:p>
        </w:tc>
        <w:tc>
          <w:tcPr>
            <w:tcW w:w="1694" w:type="dxa"/>
          </w:tcPr>
          <w:p w14:paraId="792899AB" w14:textId="77777777" w:rsidR="00F169B5" w:rsidRPr="00C02A89" w:rsidRDefault="00C02A89" w:rsidP="00C02A89">
            <w:pPr>
              <w:pStyle w:val="TableBodyText"/>
              <w:jc w:val="center"/>
              <w:cnfStyle w:val="100000000000" w:firstRow="1" w:lastRow="0" w:firstColumn="0" w:lastColumn="0" w:oddVBand="0" w:evenVBand="0" w:oddHBand="0" w:evenHBand="0" w:firstRowFirstColumn="0" w:firstRowLastColumn="0" w:lastRowFirstColumn="0" w:lastRowLastColumn="0"/>
            </w:pPr>
            <w:r w:rsidRPr="00C02A89">
              <w:t>Mexico</w:t>
            </w:r>
          </w:p>
        </w:tc>
        <w:tc>
          <w:tcPr>
            <w:tcW w:w="1695" w:type="dxa"/>
          </w:tcPr>
          <w:p w14:paraId="259C4104" w14:textId="77777777" w:rsidR="00F169B5" w:rsidRPr="00C02A89" w:rsidRDefault="00C02A89" w:rsidP="00C02A89">
            <w:pPr>
              <w:pStyle w:val="TableBodyText"/>
              <w:jc w:val="center"/>
              <w:cnfStyle w:val="100000000000" w:firstRow="1" w:lastRow="0" w:firstColumn="0" w:lastColumn="0" w:oddVBand="0" w:evenVBand="0" w:oddHBand="0" w:evenHBand="0" w:firstRowFirstColumn="0" w:firstRowLastColumn="0" w:lastRowFirstColumn="0" w:lastRowLastColumn="0"/>
            </w:pPr>
            <w:r w:rsidRPr="00C02A89">
              <w:t>China</w:t>
            </w:r>
          </w:p>
        </w:tc>
      </w:tr>
      <w:tr w:rsidR="00F169B5" w:rsidRPr="00C02A89" w14:paraId="6B2AA8C2" w14:textId="77777777" w:rsidTr="002A1BBE">
        <w:trPr>
          <w:cantSplit w:val="0"/>
        </w:trPr>
        <w:tc>
          <w:tcPr>
            <w:cnfStyle w:val="001000000000" w:firstRow="0" w:lastRow="0" w:firstColumn="1" w:lastColumn="0" w:oddVBand="0" w:evenVBand="0" w:oddHBand="0" w:evenHBand="0" w:firstRowFirstColumn="0" w:firstRowLastColumn="0" w:lastRowFirstColumn="0" w:lastRowLastColumn="0"/>
            <w:tcW w:w="3557" w:type="dxa"/>
          </w:tcPr>
          <w:p w14:paraId="4BB118DB" w14:textId="77777777" w:rsidR="00F169B5" w:rsidRPr="00C02A89" w:rsidRDefault="00C02A89" w:rsidP="002A1BBE">
            <w:pPr>
              <w:pStyle w:val="TableBodyText"/>
            </w:pPr>
            <w:r w:rsidRPr="00C02A89">
              <w:t>Transport</w:t>
            </w:r>
            <w:r w:rsidR="00736FA5">
              <w:t>ation</w:t>
            </w:r>
            <w:r w:rsidRPr="00C02A89">
              <w:t xml:space="preserve"> cost</w:t>
            </w:r>
            <w:r w:rsidR="002A1BBE">
              <w:t xml:space="preserve"> as percentage of </w:t>
            </w:r>
            <w:r>
              <w:t>t</w:t>
            </w:r>
            <w:r w:rsidRPr="00C02A89">
              <w:t>otal cost</w:t>
            </w:r>
          </w:p>
        </w:tc>
        <w:tc>
          <w:tcPr>
            <w:tcW w:w="1694" w:type="dxa"/>
          </w:tcPr>
          <w:p w14:paraId="641367E4" w14:textId="77777777" w:rsidR="00F169B5" w:rsidRPr="00C02A89" w:rsidRDefault="00C02A89" w:rsidP="00B94750">
            <w:pPr>
              <w:pStyle w:val="TableBodyText"/>
              <w:ind w:left="-108" w:right="-120"/>
              <w:jc w:val="center"/>
              <w:cnfStyle w:val="000000000000" w:firstRow="0" w:lastRow="0" w:firstColumn="0" w:lastColumn="0" w:oddVBand="0" w:evenVBand="0" w:oddHBand="0" w:evenHBand="0" w:firstRowFirstColumn="0" w:firstRowLastColumn="0" w:lastRowFirstColumn="0" w:lastRowLastColumn="0"/>
            </w:pPr>
            <w:r w:rsidRPr="00C02A89">
              <w:t>35.7%</w:t>
            </w:r>
          </w:p>
        </w:tc>
        <w:tc>
          <w:tcPr>
            <w:tcW w:w="1694" w:type="dxa"/>
          </w:tcPr>
          <w:p w14:paraId="578589F7" w14:textId="77777777" w:rsidR="00F169B5" w:rsidRPr="00C02A89" w:rsidRDefault="00C02A89" w:rsidP="00B94750">
            <w:pPr>
              <w:pStyle w:val="TableBodyText"/>
              <w:ind w:right="485"/>
              <w:jc w:val="right"/>
              <w:cnfStyle w:val="000000000000" w:firstRow="0" w:lastRow="0" w:firstColumn="0" w:lastColumn="0" w:oddVBand="0" w:evenVBand="0" w:oddHBand="0" w:evenHBand="0" w:firstRowFirstColumn="0" w:firstRowLastColumn="0" w:lastRowFirstColumn="0" w:lastRowLastColumn="0"/>
            </w:pPr>
            <w:r w:rsidRPr="00C02A89">
              <w:t>4.9%</w:t>
            </w:r>
          </w:p>
        </w:tc>
        <w:tc>
          <w:tcPr>
            <w:tcW w:w="1695" w:type="dxa"/>
          </w:tcPr>
          <w:p w14:paraId="390AB766" w14:textId="77777777" w:rsidR="00F169B5" w:rsidRPr="00C02A89" w:rsidRDefault="00C02A89" w:rsidP="00B94750">
            <w:pPr>
              <w:pStyle w:val="TableBodyText"/>
              <w:ind w:right="533"/>
              <w:jc w:val="right"/>
              <w:cnfStyle w:val="000000000000" w:firstRow="0" w:lastRow="0" w:firstColumn="0" w:lastColumn="0" w:oddVBand="0" w:evenVBand="0" w:oddHBand="0" w:evenHBand="0" w:firstRowFirstColumn="0" w:firstRowLastColumn="0" w:lastRowFirstColumn="0" w:lastRowLastColumn="0"/>
            </w:pPr>
            <w:r w:rsidRPr="00C02A89">
              <w:t>5.4%</w:t>
            </w:r>
          </w:p>
        </w:tc>
      </w:tr>
      <w:tr w:rsidR="0007581F" w:rsidRPr="00C02A89" w14:paraId="5BA283B8" w14:textId="77777777" w:rsidTr="002A1BBE">
        <w:trPr>
          <w:cantSplit w:val="0"/>
        </w:trPr>
        <w:tc>
          <w:tcPr>
            <w:cnfStyle w:val="001000000000" w:firstRow="0" w:lastRow="0" w:firstColumn="1" w:lastColumn="0" w:oddVBand="0" w:evenVBand="0" w:oddHBand="0" w:evenHBand="0" w:firstRowFirstColumn="0" w:firstRowLastColumn="0" w:lastRowFirstColumn="0" w:lastRowLastColumn="0"/>
            <w:tcW w:w="3557" w:type="dxa"/>
          </w:tcPr>
          <w:p w14:paraId="5E98F91C" w14:textId="77777777" w:rsidR="0007581F" w:rsidRPr="00C02A89" w:rsidRDefault="00C02A89" w:rsidP="002A1BBE">
            <w:pPr>
              <w:pStyle w:val="TableBodyText"/>
            </w:pPr>
            <w:r w:rsidRPr="00C02A89">
              <w:t>Labor cost</w:t>
            </w:r>
            <w:r w:rsidR="002A1BBE">
              <w:t xml:space="preserve"> as percentage of</w:t>
            </w:r>
            <w:r w:rsidR="002A1BBE" w:rsidRPr="00C02A89">
              <w:t xml:space="preserve"> </w:t>
            </w:r>
            <w:r>
              <w:t>t</w:t>
            </w:r>
            <w:r w:rsidRPr="00C02A89">
              <w:t xml:space="preserve">otal </w:t>
            </w:r>
            <w:r>
              <w:t>c</w:t>
            </w:r>
            <w:r w:rsidRPr="00C02A89">
              <w:t>ost</w:t>
            </w:r>
          </w:p>
        </w:tc>
        <w:tc>
          <w:tcPr>
            <w:tcW w:w="1694" w:type="dxa"/>
          </w:tcPr>
          <w:p w14:paraId="2D9990E6" w14:textId="77777777" w:rsidR="0007581F" w:rsidRPr="00C02A89" w:rsidRDefault="00C02A89" w:rsidP="00B94750">
            <w:pPr>
              <w:pStyle w:val="TableBodyText"/>
              <w:ind w:left="-108" w:right="-120"/>
              <w:jc w:val="center"/>
              <w:cnfStyle w:val="000000000000" w:firstRow="0" w:lastRow="0" w:firstColumn="0" w:lastColumn="0" w:oddVBand="0" w:evenVBand="0" w:oddHBand="0" w:evenHBand="0" w:firstRowFirstColumn="0" w:firstRowLastColumn="0" w:lastRowFirstColumn="0" w:lastRowLastColumn="0"/>
            </w:pPr>
            <w:r w:rsidRPr="00C02A89">
              <w:t>25.4%</w:t>
            </w:r>
          </w:p>
        </w:tc>
        <w:tc>
          <w:tcPr>
            <w:tcW w:w="1694" w:type="dxa"/>
          </w:tcPr>
          <w:p w14:paraId="77588657" w14:textId="77777777" w:rsidR="0007581F" w:rsidRPr="00C02A89" w:rsidRDefault="00C02A89" w:rsidP="00B94750">
            <w:pPr>
              <w:pStyle w:val="TableBodyText"/>
              <w:ind w:right="485"/>
              <w:jc w:val="right"/>
              <w:cnfStyle w:val="000000000000" w:firstRow="0" w:lastRow="0" w:firstColumn="0" w:lastColumn="0" w:oddVBand="0" w:evenVBand="0" w:oddHBand="0" w:evenHBand="0" w:firstRowFirstColumn="0" w:firstRowLastColumn="0" w:lastRowFirstColumn="0" w:lastRowLastColumn="0"/>
            </w:pPr>
            <w:r w:rsidRPr="00C02A89">
              <w:t>23.5%</w:t>
            </w:r>
          </w:p>
        </w:tc>
        <w:tc>
          <w:tcPr>
            <w:tcW w:w="1695" w:type="dxa"/>
          </w:tcPr>
          <w:p w14:paraId="1A26C00D" w14:textId="77777777" w:rsidR="0007581F" w:rsidRPr="00C02A89" w:rsidRDefault="00C02A89" w:rsidP="00B94750">
            <w:pPr>
              <w:pStyle w:val="TableBodyText"/>
              <w:ind w:right="533"/>
              <w:jc w:val="right"/>
              <w:cnfStyle w:val="000000000000" w:firstRow="0" w:lastRow="0" w:firstColumn="0" w:lastColumn="0" w:oddVBand="0" w:evenVBand="0" w:oddHBand="0" w:evenHBand="0" w:firstRowFirstColumn="0" w:firstRowLastColumn="0" w:lastRowFirstColumn="0" w:lastRowLastColumn="0"/>
            </w:pPr>
            <w:r w:rsidRPr="00C02A89">
              <w:t>34.8%</w:t>
            </w:r>
          </w:p>
        </w:tc>
      </w:tr>
    </w:tbl>
    <w:p w14:paraId="04A41140" w14:textId="77777777" w:rsidR="00FA4D0D" w:rsidRPr="00582DD9" w:rsidRDefault="00FA4D0D" w:rsidP="00381B57"/>
    <w:p w14:paraId="25366AD7" w14:textId="77777777" w:rsidR="00FA4D0D" w:rsidRPr="00582DD9" w:rsidRDefault="00FA4D0D" w:rsidP="00381B57">
      <w:r w:rsidRPr="00582DD9">
        <w:t>This was expected for low value-to-volume products such as Side-by-Side</w:t>
      </w:r>
      <w:r w:rsidR="00736FA5">
        <w:t>s</w:t>
      </w:r>
      <w:r w:rsidRPr="00582DD9">
        <w:t>. In this case, reducing transportation cost is critical. It can be achieved by moving production closer to consumption.</w:t>
      </w:r>
      <w:r>
        <w:t xml:space="preserve"> Mexico turns out to have the lowest transportation cost because of its proximity to the largest market in southern United States.</w:t>
      </w:r>
    </w:p>
    <w:p w14:paraId="33AD827D" w14:textId="77777777" w:rsidR="00FA4D0D" w:rsidRPr="00582DD9" w:rsidRDefault="00FA4D0D" w:rsidP="00FA4D0D">
      <w:pPr>
        <w:pStyle w:val="Heading4"/>
      </w:pPr>
      <w:r>
        <w:t xml:space="preserve">3. </w:t>
      </w:r>
      <w:r w:rsidRPr="00582DD9">
        <w:t>Would your recommendation change if foreign exchange rates increase</w:t>
      </w:r>
      <w:r w:rsidR="00736FA5">
        <w:t>d</w:t>
      </w:r>
      <w:r w:rsidRPr="00582DD9">
        <w:t xml:space="preserve"> or decrease</w:t>
      </w:r>
      <w:r w:rsidR="00736FA5">
        <w:t>d</w:t>
      </w:r>
      <w:r w:rsidRPr="00582DD9">
        <w:t xml:space="preserve"> by 15</w:t>
      </w:r>
      <w:r w:rsidR="0064121C">
        <w:t xml:space="preserve"> percent</w:t>
      </w:r>
      <w:r w:rsidRPr="00582DD9">
        <w:t>?</w:t>
      </w:r>
    </w:p>
    <w:p w14:paraId="2273BAB9" w14:textId="77777777" w:rsidR="00FA4D0D" w:rsidRPr="00582DD9" w:rsidRDefault="00FA4D0D" w:rsidP="00381B57">
      <w:r w:rsidRPr="00582DD9">
        <w:t>The goal of this question is to help students understand how sensitive the total cost is to changes in exchange rates. Future exchange rates cannot be predicted and could vary by more than 15</w:t>
      </w:r>
      <w:r w:rsidR="0064121C">
        <w:t xml:space="preserve"> percent</w:t>
      </w:r>
      <w:r w:rsidRPr="00582DD9">
        <w:t xml:space="preserve">; the number was chosen to reflect the impact on cost </w:t>
      </w:r>
      <w:r>
        <w:t>of variations in the exchange rate</w:t>
      </w:r>
      <w:r w:rsidRPr="00582DD9">
        <w:t>.</w:t>
      </w:r>
    </w:p>
    <w:p w14:paraId="4CCEFF5B" w14:textId="77777777" w:rsidR="00FA4D0D" w:rsidRDefault="00FA4D0D" w:rsidP="00381B57">
      <w:r w:rsidRPr="00582DD9">
        <w:t xml:space="preserve">When the </w:t>
      </w:r>
      <w:r w:rsidR="00F03875">
        <w:t>p</w:t>
      </w:r>
      <w:r w:rsidRPr="00582DD9">
        <w:t>eso is devalued from the base case of 11</w:t>
      </w:r>
      <w:r>
        <w:t>.92</w:t>
      </w:r>
      <w:r w:rsidRPr="00582DD9">
        <w:t xml:space="preserve"> MXN/USD</w:t>
      </w:r>
      <w:r>
        <w:t xml:space="preserve"> in 2008</w:t>
      </w:r>
      <w:r w:rsidRPr="00582DD9">
        <w:t xml:space="preserve">, </w:t>
      </w:r>
      <w:r>
        <w:t>it becomes even cheaper</w:t>
      </w:r>
      <w:r w:rsidRPr="00582DD9">
        <w:t xml:space="preserve"> to operate in Mexico. </w:t>
      </w:r>
      <w:r>
        <w:t xml:space="preserve">Thus, it is the strengthening of the </w:t>
      </w:r>
      <w:r w:rsidR="00D5741D">
        <w:t xml:space="preserve">peso and the yuan </w:t>
      </w:r>
      <w:r>
        <w:t xml:space="preserve">that make Mexico and China potentially less attractive. In contrast, as the </w:t>
      </w:r>
      <w:r w:rsidR="00D5741D">
        <w:t>p</w:t>
      </w:r>
      <w:r>
        <w:t xml:space="preserve">eso strengthens compared to the </w:t>
      </w:r>
      <w:r w:rsidR="00F03875">
        <w:t>dollar and the yuan</w:t>
      </w:r>
      <w:r>
        <w:t>, Mexican costs increase relative to the other currencies</w:t>
      </w:r>
      <w:r w:rsidRPr="00582DD9">
        <w:t xml:space="preserve">. </w:t>
      </w:r>
      <w:r>
        <w:t xml:space="preserve">If the </w:t>
      </w:r>
      <w:r w:rsidR="00F03875">
        <w:t>pe</w:t>
      </w:r>
      <w:r>
        <w:t>so strengthens by 5</w:t>
      </w:r>
      <w:r w:rsidR="0064121C">
        <w:t xml:space="preserve"> percent</w:t>
      </w:r>
      <w:r>
        <w:t xml:space="preserve"> to 11.324 MXN/</w:t>
      </w:r>
      <w:r w:rsidR="002A1BBE">
        <w:t>USD</w:t>
      </w:r>
      <w:r>
        <w:t xml:space="preserve"> in 2008 (same growth in following years), the savings from moving to Mexico become the same as the savings from moving to China.</w:t>
      </w:r>
    </w:p>
    <w:p w14:paraId="3C273015" w14:textId="77777777" w:rsidR="00D5741D" w:rsidRPr="00D5741D" w:rsidRDefault="00D5741D" w:rsidP="00D5741D">
      <w:pPr>
        <w:pStyle w:val="TableTitle"/>
        <w:rPr>
          <w:b w:val="0"/>
        </w:rPr>
      </w:pPr>
      <w:r w:rsidRPr="00D5741D">
        <w:rPr>
          <w:b w:val="0"/>
        </w:rPr>
        <w:t>Expected Exchange Rates</w:t>
      </w:r>
    </w:p>
    <w:tbl>
      <w:tblPr>
        <w:tblStyle w:val="TableGrid"/>
        <w:tblW w:w="0" w:type="auto"/>
        <w:tblInd w:w="115" w:type="dxa"/>
        <w:tblLook w:val="04A0" w:firstRow="1" w:lastRow="0" w:firstColumn="1" w:lastColumn="0" w:noHBand="0" w:noVBand="1"/>
      </w:tblPr>
      <w:tblGrid>
        <w:gridCol w:w="810"/>
        <w:gridCol w:w="1620"/>
        <w:gridCol w:w="936"/>
      </w:tblGrid>
      <w:tr w:rsidR="00736FA5" w14:paraId="11909B2D" w14:textId="77777777" w:rsidTr="00736FA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10" w:type="dxa"/>
          </w:tcPr>
          <w:p w14:paraId="466C704B" w14:textId="77777777" w:rsidR="00736FA5" w:rsidRDefault="00736FA5" w:rsidP="00A97D63">
            <w:pPr>
              <w:pStyle w:val="TableBodyText"/>
            </w:pPr>
          </w:p>
        </w:tc>
        <w:tc>
          <w:tcPr>
            <w:tcW w:w="1620" w:type="dxa"/>
            <w:tcBorders>
              <w:right w:val="single" w:sz="4" w:space="0" w:color="auto"/>
            </w:tcBorders>
          </w:tcPr>
          <w:p w14:paraId="491CBED8" w14:textId="77777777" w:rsidR="00736FA5" w:rsidRDefault="00736FA5" w:rsidP="00A97D63">
            <w:pPr>
              <w:pStyle w:val="TableBodyText"/>
              <w:cnfStyle w:val="100000000000" w:firstRow="1" w:lastRow="0" w:firstColumn="0" w:lastColumn="0" w:oddVBand="0" w:evenVBand="0" w:oddHBand="0" w:evenHBand="0" w:firstRowFirstColumn="0" w:firstRowLastColumn="0" w:lastRowFirstColumn="0" w:lastRowLastColumn="0"/>
            </w:pPr>
          </w:p>
        </w:tc>
        <w:tc>
          <w:tcPr>
            <w:tcW w:w="936" w:type="dxa"/>
            <w:tcBorders>
              <w:left w:val="single" w:sz="4" w:space="0" w:color="auto"/>
            </w:tcBorders>
          </w:tcPr>
          <w:p w14:paraId="6ED236E3" w14:textId="77777777" w:rsidR="00736FA5" w:rsidRDefault="00736FA5" w:rsidP="004F3FAE">
            <w:pPr>
              <w:pStyle w:val="TableBodyText"/>
              <w:jc w:val="center"/>
              <w:cnfStyle w:val="100000000000" w:firstRow="1" w:lastRow="0" w:firstColumn="0" w:lastColumn="0" w:oddVBand="0" w:evenVBand="0" w:oddHBand="0" w:evenHBand="0" w:firstRowFirstColumn="0" w:firstRowLastColumn="0" w:lastRowFirstColumn="0" w:lastRowLastColumn="0"/>
            </w:pPr>
            <w:r>
              <w:t>Multiplier</w:t>
            </w:r>
          </w:p>
        </w:tc>
      </w:tr>
      <w:tr w:rsidR="00736FA5" w14:paraId="4839D859" w14:textId="77777777" w:rsidTr="00736FA5">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auto"/>
              <w:bottom w:val="nil"/>
            </w:tcBorders>
          </w:tcPr>
          <w:p w14:paraId="739DD8CC" w14:textId="77777777" w:rsidR="00736FA5" w:rsidRDefault="00736FA5" w:rsidP="00A97D63">
            <w:pPr>
              <w:pStyle w:val="TableBodyText"/>
            </w:pPr>
            <w:r>
              <w:t>Pesos</w:t>
            </w:r>
          </w:p>
        </w:tc>
        <w:tc>
          <w:tcPr>
            <w:tcW w:w="1620" w:type="dxa"/>
            <w:tcBorders>
              <w:top w:val="single" w:sz="4" w:space="0" w:color="auto"/>
              <w:bottom w:val="nil"/>
              <w:right w:val="single" w:sz="4" w:space="0" w:color="auto"/>
            </w:tcBorders>
          </w:tcPr>
          <w:p w14:paraId="099306F2" w14:textId="77777777" w:rsidR="00736FA5" w:rsidRDefault="00736FA5" w:rsidP="00BC4EC2">
            <w:pPr>
              <w:pStyle w:val="TableBodyText"/>
              <w:jc w:val="right"/>
              <w:cnfStyle w:val="000000000000" w:firstRow="0" w:lastRow="0" w:firstColumn="0" w:lastColumn="0" w:oddVBand="0" w:evenVBand="0" w:oddHBand="0" w:evenHBand="0" w:firstRowFirstColumn="0" w:firstRowLastColumn="0" w:lastRowFirstColumn="0" w:lastRowLastColumn="0"/>
            </w:pPr>
            <w:r>
              <w:t>11.</w:t>
            </w:r>
            <w:r w:rsidR="00BC4EC2">
              <w:t>9</w:t>
            </w:r>
            <w:r>
              <w:t>2 Pesos/USD</w:t>
            </w:r>
          </w:p>
        </w:tc>
        <w:tc>
          <w:tcPr>
            <w:tcW w:w="936" w:type="dxa"/>
            <w:tcBorders>
              <w:top w:val="single" w:sz="4" w:space="0" w:color="auto"/>
              <w:left w:val="single" w:sz="4" w:space="0" w:color="auto"/>
              <w:bottom w:val="nil"/>
            </w:tcBorders>
          </w:tcPr>
          <w:p w14:paraId="687E16B4" w14:textId="77777777" w:rsidR="00736FA5" w:rsidRDefault="00736FA5" w:rsidP="00D5741D">
            <w:pPr>
              <w:pStyle w:val="TableBodyText"/>
              <w:ind w:left="-655" w:right="209"/>
              <w:jc w:val="right"/>
              <w:cnfStyle w:val="000000000000" w:firstRow="0" w:lastRow="0" w:firstColumn="0" w:lastColumn="0" w:oddVBand="0" w:evenVBand="0" w:oddHBand="0" w:evenHBand="0" w:firstRowFirstColumn="0" w:firstRowLastColumn="0" w:lastRowFirstColumn="0" w:lastRowLastColumn="0"/>
            </w:pPr>
            <w:r>
              <w:t>0.95</w:t>
            </w:r>
          </w:p>
        </w:tc>
      </w:tr>
      <w:tr w:rsidR="00736FA5" w14:paraId="1D46C8EC" w14:textId="77777777" w:rsidTr="00736FA5">
        <w:tc>
          <w:tcPr>
            <w:cnfStyle w:val="001000000000" w:firstRow="0" w:lastRow="0" w:firstColumn="1" w:lastColumn="0" w:oddVBand="0" w:evenVBand="0" w:oddHBand="0" w:evenHBand="0" w:firstRowFirstColumn="0" w:firstRowLastColumn="0" w:lastRowFirstColumn="0" w:lastRowLastColumn="0"/>
            <w:tcW w:w="810" w:type="dxa"/>
            <w:tcBorders>
              <w:bottom w:val="single" w:sz="4" w:space="0" w:color="auto"/>
            </w:tcBorders>
          </w:tcPr>
          <w:p w14:paraId="6E2DA9D1" w14:textId="77777777" w:rsidR="00736FA5" w:rsidRDefault="00736FA5" w:rsidP="00A97D63">
            <w:pPr>
              <w:pStyle w:val="TableBodyText"/>
            </w:pPr>
            <w:r>
              <w:t>Yuan</w:t>
            </w:r>
          </w:p>
        </w:tc>
        <w:tc>
          <w:tcPr>
            <w:tcW w:w="1620" w:type="dxa"/>
            <w:tcBorders>
              <w:bottom w:val="single" w:sz="4" w:space="0" w:color="auto"/>
              <w:right w:val="single" w:sz="4" w:space="0" w:color="auto"/>
            </w:tcBorders>
          </w:tcPr>
          <w:p w14:paraId="68D8AECF" w14:textId="77777777" w:rsidR="00736FA5" w:rsidRDefault="00736FA5" w:rsidP="00736FA5">
            <w:pPr>
              <w:pStyle w:val="TableBodyText"/>
              <w:jc w:val="right"/>
              <w:cnfStyle w:val="000000000000" w:firstRow="0" w:lastRow="0" w:firstColumn="0" w:lastColumn="0" w:oddVBand="0" w:evenVBand="0" w:oddHBand="0" w:evenHBand="0" w:firstRowFirstColumn="0" w:firstRowLastColumn="0" w:lastRowFirstColumn="0" w:lastRowLastColumn="0"/>
            </w:pPr>
            <w:r>
              <w:t>6.47 Yuan/USD</w:t>
            </w:r>
          </w:p>
        </w:tc>
        <w:tc>
          <w:tcPr>
            <w:tcW w:w="936" w:type="dxa"/>
            <w:tcBorders>
              <w:left w:val="single" w:sz="4" w:space="0" w:color="auto"/>
              <w:bottom w:val="single" w:sz="4" w:space="0" w:color="auto"/>
            </w:tcBorders>
          </w:tcPr>
          <w:p w14:paraId="5BB72D04" w14:textId="77777777" w:rsidR="00736FA5" w:rsidRDefault="00736FA5" w:rsidP="00D5741D">
            <w:pPr>
              <w:pStyle w:val="TableBodyText"/>
              <w:ind w:left="-655" w:right="209"/>
              <w:jc w:val="right"/>
              <w:cnfStyle w:val="000000000000" w:firstRow="0" w:lastRow="0" w:firstColumn="0" w:lastColumn="0" w:oddVBand="0" w:evenVBand="0" w:oddHBand="0" w:evenHBand="0" w:firstRowFirstColumn="0" w:firstRowLastColumn="0" w:lastRowFirstColumn="0" w:lastRowLastColumn="0"/>
            </w:pPr>
            <w:r>
              <w:t>1</w:t>
            </w:r>
          </w:p>
        </w:tc>
        <w:bookmarkStart w:id="0" w:name="_GoBack"/>
        <w:bookmarkEnd w:id="0"/>
      </w:tr>
    </w:tbl>
    <w:p w14:paraId="3F96D0BD" w14:textId="77777777" w:rsidR="00D5741D" w:rsidRPr="00D5741D" w:rsidRDefault="00D5741D" w:rsidP="00D5741D">
      <w:pPr>
        <w:pStyle w:val="TableTitle"/>
        <w:rPr>
          <w:b w:val="0"/>
        </w:rPr>
      </w:pPr>
      <w:r w:rsidRPr="00D5741D">
        <w:rPr>
          <w:b w:val="0"/>
        </w:rPr>
        <w:t>Projected Annual Wage Growth</w:t>
      </w:r>
    </w:p>
    <w:tbl>
      <w:tblPr>
        <w:tblStyle w:val="TableGrid"/>
        <w:tblW w:w="0" w:type="auto"/>
        <w:tblInd w:w="115" w:type="dxa"/>
        <w:tblLook w:val="04A0" w:firstRow="1" w:lastRow="0" w:firstColumn="1" w:lastColumn="0" w:noHBand="0" w:noVBand="1"/>
      </w:tblPr>
      <w:tblGrid>
        <w:gridCol w:w="810"/>
        <w:gridCol w:w="1620"/>
        <w:gridCol w:w="936"/>
      </w:tblGrid>
      <w:tr w:rsidR="00D5741D" w14:paraId="21EE67A7" w14:textId="77777777" w:rsidTr="00736FA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810" w:type="dxa"/>
          </w:tcPr>
          <w:p w14:paraId="17D2B5AF" w14:textId="77777777" w:rsidR="00D5741D" w:rsidRDefault="00D5741D" w:rsidP="00A97D63">
            <w:pPr>
              <w:pStyle w:val="TableBodyText"/>
            </w:pPr>
          </w:p>
        </w:tc>
        <w:tc>
          <w:tcPr>
            <w:tcW w:w="1620" w:type="dxa"/>
            <w:tcBorders>
              <w:right w:val="single" w:sz="4" w:space="0" w:color="auto"/>
            </w:tcBorders>
          </w:tcPr>
          <w:p w14:paraId="0990B7F2" w14:textId="77777777" w:rsidR="00D5741D" w:rsidRDefault="00D5741D" w:rsidP="00A97D63">
            <w:pPr>
              <w:pStyle w:val="TableBodyText"/>
              <w:cnfStyle w:val="100000000000" w:firstRow="1" w:lastRow="0" w:firstColumn="0" w:lastColumn="0" w:oddVBand="0" w:evenVBand="0" w:oddHBand="0" w:evenHBand="0" w:firstRowFirstColumn="0" w:firstRowLastColumn="0" w:lastRowFirstColumn="0" w:lastRowLastColumn="0"/>
            </w:pPr>
          </w:p>
        </w:tc>
        <w:tc>
          <w:tcPr>
            <w:tcW w:w="936" w:type="dxa"/>
            <w:tcBorders>
              <w:left w:val="single" w:sz="4" w:space="0" w:color="auto"/>
            </w:tcBorders>
          </w:tcPr>
          <w:p w14:paraId="0FED6954" w14:textId="77777777" w:rsidR="00D5741D" w:rsidRDefault="00D5741D" w:rsidP="002A1BBE">
            <w:pPr>
              <w:pStyle w:val="TableBodyText"/>
              <w:jc w:val="center"/>
              <w:cnfStyle w:val="100000000000" w:firstRow="1" w:lastRow="0" w:firstColumn="0" w:lastColumn="0" w:oddVBand="0" w:evenVBand="0" w:oddHBand="0" w:evenHBand="0" w:firstRowFirstColumn="0" w:firstRowLastColumn="0" w:lastRowFirstColumn="0" w:lastRowLastColumn="0"/>
            </w:pPr>
            <w:r>
              <w:t>Multiplier</w:t>
            </w:r>
          </w:p>
        </w:tc>
      </w:tr>
      <w:tr w:rsidR="00D5741D" w14:paraId="67D2ABE7" w14:textId="77777777" w:rsidTr="00736FA5">
        <w:tc>
          <w:tcPr>
            <w:cnfStyle w:val="001000000000" w:firstRow="0" w:lastRow="0" w:firstColumn="1" w:lastColumn="0" w:oddVBand="0" w:evenVBand="0" w:oddHBand="0" w:evenHBand="0" w:firstRowFirstColumn="0" w:firstRowLastColumn="0" w:lastRowFirstColumn="0" w:lastRowLastColumn="0"/>
            <w:tcW w:w="810" w:type="dxa"/>
            <w:tcBorders>
              <w:top w:val="single" w:sz="4" w:space="0" w:color="auto"/>
            </w:tcBorders>
          </w:tcPr>
          <w:p w14:paraId="520B249E" w14:textId="77777777" w:rsidR="00D5741D" w:rsidRDefault="00D5741D" w:rsidP="00A97D63">
            <w:pPr>
              <w:pStyle w:val="TableBodyText"/>
            </w:pPr>
            <w:r>
              <w:t>Mexico</w:t>
            </w:r>
          </w:p>
        </w:tc>
        <w:tc>
          <w:tcPr>
            <w:tcW w:w="1620" w:type="dxa"/>
            <w:tcBorders>
              <w:top w:val="single" w:sz="4" w:space="0" w:color="auto"/>
              <w:right w:val="single" w:sz="4" w:space="0" w:color="auto"/>
            </w:tcBorders>
          </w:tcPr>
          <w:p w14:paraId="1088AF06" w14:textId="77777777" w:rsidR="00D5741D" w:rsidRDefault="00D5741D" w:rsidP="00736FA5">
            <w:pPr>
              <w:pStyle w:val="TableBodyText"/>
              <w:ind w:left="-202" w:right="452"/>
              <w:jc w:val="right"/>
              <w:cnfStyle w:val="000000000000" w:firstRow="0" w:lastRow="0" w:firstColumn="0" w:lastColumn="0" w:oddVBand="0" w:evenVBand="0" w:oddHBand="0" w:evenHBand="0" w:firstRowFirstColumn="0" w:firstRowLastColumn="0" w:lastRowFirstColumn="0" w:lastRowLastColumn="0"/>
            </w:pPr>
            <w:r>
              <w:t>7.1%</w:t>
            </w:r>
          </w:p>
        </w:tc>
        <w:tc>
          <w:tcPr>
            <w:tcW w:w="936" w:type="dxa"/>
            <w:tcBorders>
              <w:top w:val="single" w:sz="4" w:space="0" w:color="auto"/>
              <w:left w:val="single" w:sz="4" w:space="0" w:color="auto"/>
            </w:tcBorders>
          </w:tcPr>
          <w:p w14:paraId="66AF22B0" w14:textId="77777777" w:rsidR="00D5741D" w:rsidRDefault="00D5741D" w:rsidP="004F3FAE">
            <w:pPr>
              <w:pStyle w:val="TableBodyText"/>
              <w:ind w:left="-745" w:right="335"/>
              <w:jc w:val="right"/>
              <w:cnfStyle w:val="000000000000" w:firstRow="0" w:lastRow="0" w:firstColumn="0" w:lastColumn="0" w:oddVBand="0" w:evenVBand="0" w:oddHBand="0" w:evenHBand="0" w:firstRowFirstColumn="0" w:firstRowLastColumn="0" w:lastRowFirstColumn="0" w:lastRowLastColumn="0"/>
            </w:pPr>
            <w:r>
              <w:t>1</w:t>
            </w:r>
          </w:p>
        </w:tc>
      </w:tr>
      <w:tr w:rsidR="00D5741D" w14:paraId="7762E9FA" w14:textId="77777777" w:rsidTr="00736FA5">
        <w:tc>
          <w:tcPr>
            <w:cnfStyle w:val="001000000000" w:firstRow="0" w:lastRow="0" w:firstColumn="1" w:lastColumn="0" w:oddVBand="0" w:evenVBand="0" w:oddHBand="0" w:evenHBand="0" w:firstRowFirstColumn="0" w:firstRowLastColumn="0" w:lastRowFirstColumn="0" w:lastRowLastColumn="0"/>
            <w:tcW w:w="810" w:type="dxa"/>
          </w:tcPr>
          <w:p w14:paraId="1819A153" w14:textId="77777777" w:rsidR="00D5741D" w:rsidRDefault="00D5741D" w:rsidP="00A97D63">
            <w:pPr>
              <w:pStyle w:val="TableBodyText"/>
            </w:pPr>
            <w:r>
              <w:t>China</w:t>
            </w:r>
          </w:p>
        </w:tc>
        <w:tc>
          <w:tcPr>
            <w:tcW w:w="1620" w:type="dxa"/>
            <w:tcBorders>
              <w:bottom w:val="single" w:sz="4" w:space="0" w:color="auto"/>
              <w:right w:val="single" w:sz="4" w:space="0" w:color="auto"/>
            </w:tcBorders>
          </w:tcPr>
          <w:p w14:paraId="2A4EAFEA" w14:textId="77777777" w:rsidR="00D5741D" w:rsidRDefault="00D5741D" w:rsidP="00736FA5">
            <w:pPr>
              <w:pStyle w:val="TableBodyText"/>
              <w:ind w:left="-202" w:right="452"/>
              <w:jc w:val="right"/>
              <w:cnfStyle w:val="000000000000" w:firstRow="0" w:lastRow="0" w:firstColumn="0" w:lastColumn="0" w:oddVBand="0" w:evenVBand="0" w:oddHBand="0" w:evenHBand="0" w:firstRowFirstColumn="0" w:firstRowLastColumn="0" w:lastRowFirstColumn="0" w:lastRowLastColumn="0"/>
            </w:pPr>
            <w:r>
              <w:t>13.4%</w:t>
            </w:r>
          </w:p>
        </w:tc>
        <w:tc>
          <w:tcPr>
            <w:tcW w:w="936" w:type="dxa"/>
            <w:tcBorders>
              <w:left w:val="single" w:sz="4" w:space="0" w:color="auto"/>
            </w:tcBorders>
          </w:tcPr>
          <w:p w14:paraId="27BF77C8" w14:textId="77777777" w:rsidR="00D5741D" w:rsidRDefault="00D5741D" w:rsidP="004F3FAE">
            <w:pPr>
              <w:pStyle w:val="TableBodyText"/>
              <w:ind w:right="335"/>
              <w:jc w:val="right"/>
              <w:cnfStyle w:val="000000000000" w:firstRow="0" w:lastRow="0" w:firstColumn="0" w:lastColumn="0" w:oddVBand="0" w:evenVBand="0" w:oddHBand="0" w:evenHBand="0" w:firstRowFirstColumn="0" w:firstRowLastColumn="0" w:lastRowFirstColumn="0" w:lastRowLastColumn="0"/>
            </w:pPr>
            <w:r>
              <w:t>1</w:t>
            </w:r>
          </w:p>
        </w:tc>
      </w:tr>
    </w:tbl>
    <w:p w14:paraId="28B7101C" w14:textId="77777777" w:rsidR="00381B57" w:rsidRDefault="00381B57" w:rsidP="00FA4D0D">
      <w:pPr>
        <w:rPr>
          <w:rFonts w:cstheme="minorHAnsi"/>
          <w:sz w:val="24"/>
          <w:szCs w:val="24"/>
        </w:rPr>
      </w:pPr>
    </w:p>
    <w:tbl>
      <w:tblPr>
        <w:tblStyle w:val="TableGrid"/>
        <w:tblW w:w="8640" w:type="dxa"/>
        <w:tblInd w:w="115" w:type="dxa"/>
        <w:tblLayout w:type="fixed"/>
        <w:tblLook w:val="04A0" w:firstRow="1" w:lastRow="0" w:firstColumn="1" w:lastColumn="0" w:noHBand="0" w:noVBand="1"/>
      </w:tblPr>
      <w:tblGrid>
        <w:gridCol w:w="2295"/>
        <w:gridCol w:w="2115"/>
        <w:gridCol w:w="2115"/>
        <w:gridCol w:w="2115"/>
      </w:tblGrid>
      <w:tr w:rsidR="0007581F" w:rsidRPr="004F3FAE" w14:paraId="2205C070" w14:textId="77777777" w:rsidTr="00736FA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95" w:type="dxa"/>
          </w:tcPr>
          <w:p w14:paraId="11F1D86B" w14:textId="77777777" w:rsidR="0007581F" w:rsidRPr="004F3FAE" w:rsidRDefault="0007581F" w:rsidP="004F3FAE">
            <w:pPr>
              <w:pStyle w:val="TableBodyText"/>
            </w:pPr>
          </w:p>
        </w:tc>
        <w:tc>
          <w:tcPr>
            <w:tcW w:w="2115" w:type="dxa"/>
          </w:tcPr>
          <w:p w14:paraId="060836F9" w14:textId="77777777" w:rsidR="0007581F" w:rsidRPr="004F3FAE" w:rsidRDefault="004F3FAE" w:rsidP="00F03875">
            <w:pPr>
              <w:pStyle w:val="TableBodyText"/>
              <w:jc w:val="center"/>
              <w:cnfStyle w:val="100000000000" w:firstRow="1" w:lastRow="0" w:firstColumn="0" w:lastColumn="0" w:oddVBand="0" w:evenVBand="0" w:oddHBand="0" w:evenHBand="0" w:firstRowFirstColumn="0" w:firstRowLastColumn="0" w:lastRowFirstColumn="0" w:lastRowLastColumn="0"/>
            </w:pPr>
            <w:r w:rsidRPr="004F3FAE">
              <w:t>U</w:t>
            </w:r>
            <w:r w:rsidR="00F03875">
              <w:t xml:space="preserve">nited </w:t>
            </w:r>
            <w:r w:rsidRPr="004F3FAE">
              <w:t>S</w:t>
            </w:r>
            <w:r w:rsidR="00F03875">
              <w:t>tates</w:t>
            </w:r>
            <w:r w:rsidR="00F03875">
              <w:br/>
            </w:r>
            <w:r w:rsidR="00F03875" w:rsidRPr="004F3FAE">
              <w:t>(US$)</w:t>
            </w:r>
          </w:p>
        </w:tc>
        <w:tc>
          <w:tcPr>
            <w:tcW w:w="2115" w:type="dxa"/>
          </w:tcPr>
          <w:p w14:paraId="0431A77B" w14:textId="77777777" w:rsidR="0007581F" w:rsidRPr="004F3FAE" w:rsidRDefault="004F3FAE" w:rsidP="004F3FAE">
            <w:pPr>
              <w:pStyle w:val="TableBodyText"/>
              <w:jc w:val="center"/>
              <w:cnfStyle w:val="100000000000" w:firstRow="1" w:lastRow="0" w:firstColumn="0" w:lastColumn="0" w:oddVBand="0" w:evenVBand="0" w:oddHBand="0" w:evenHBand="0" w:firstRowFirstColumn="0" w:firstRowLastColumn="0" w:lastRowFirstColumn="0" w:lastRowLastColumn="0"/>
            </w:pPr>
            <w:r w:rsidRPr="004F3FAE">
              <w:t>Mexico</w:t>
            </w:r>
            <w:r w:rsidR="00F03875">
              <w:br/>
            </w:r>
            <w:r w:rsidR="00F03875" w:rsidRPr="004F3FAE">
              <w:t>(US$)</w:t>
            </w:r>
          </w:p>
        </w:tc>
        <w:tc>
          <w:tcPr>
            <w:tcW w:w="2115" w:type="dxa"/>
          </w:tcPr>
          <w:p w14:paraId="7FF2D5EC" w14:textId="77777777" w:rsidR="004F3FAE" w:rsidRPr="004F3FAE" w:rsidRDefault="004F3FAE" w:rsidP="004F3FAE">
            <w:pPr>
              <w:pStyle w:val="TableBodyText"/>
              <w:jc w:val="center"/>
              <w:cnfStyle w:val="100000000000" w:firstRow="1" w:lastRow="0" w:firstColumn="0" w:lastColumn="0" w:oddVBand="0" w:evenVBand="0" w:oddHBand="0" w:evenHBand="0" w:firstRowFirstColumn="0" w:firstRowLastColumn="0" w:lastRowFirstColumn="0" w:lastRowLastColumn="0"/>
            </w:pPr>
            <w:r w:rsidRPr="004F3FAE">
              <w:t>China</w:t>
            </w:r>
            <w:r w:rsidR="00F03875">
              <w:br/>
            </w:r>
            <w:r w:rsidR="00F03875" w:rsidRPr="004F3FAE">
              <w:t>(US$)</w:t>
            </w:r>
          </w:p>
        </w:tc>
      </w:tr>
      <w:tr w:rsidR="0007581F" w:rsidRPr="004F3FAE" w14:paraId="7AA40AB0" w14:textId="77777777" w:rsidTr="00736FA5">
        <w:trPr>
          <w:cantSplit w:val="0"/>
        </w:trPr>
        <w:tc>
          <w:tcPr>
            <w:cnfStyle w:val="001000000000" w:firstRow="0" w:lastRow="0" w:firstColumn="1" w:lastColumn="0" w:oddVBand="0" w:evenVBand="0" w:oddHBand="0" w:evenHBand="0" w:firstRowFirstColumn="0" w:firstRowLastColumn="0" w:lastRowFirstColumn="0" w:lastRowLastColumn="0"/>
            <w:tcW w:w="2295" w:type="dxa"/>
          </w:tcPr>
          <w:p w14:paraId="51B44C59" w14:textId="77777777" w:rsidR="0007581F" w:rsidRPr="004F3FAE" w:rsidRDefault="004F3FAE" w:rsidP="00F03875">
            <w:pPr>
              <w:pStyle w:val="TableBodyText"/>
            </w:pPr>
            <w:r w:rsidRPr="004F3FAE">
              <w:t xml:space="preserve">Net present cost </w:t>
            </w:r>
          </w:p>
        </w:tc>
        <w:tc>
          <w:tcPr>
            <w:tcW w:w="2115" w:type="dxa"/>
          </w:tcPr>
          <w:p w14:paraId="0CE1CD00" w14:textId="77777777" w:rsidR="0007581F" w:rsidRPr="004F3FAE" w:rsidRDefault="004F3FAE" w:rsidP="00736FA5">
            <w:pPr>
              <w:pStyle w:val="TableBodyText"/>
              <w:ind w:right="506"/>
              <w:jc w:val="right"/>
              <w:cnfStyle w:val="000000000000" w:firstRow="0" w:lastRow="0" w:firstColumn="0" w:lastColumn="0" w:oddVBand="0" w:evenVBand="0" w:oddHBand="0" w:evenHBand="0" w:firstRowFirstColumn="0" w:firstRowLastColumn="0" w:lastRowFirstColumn="0" w:lastRowLastColumn="0"/>
            </w:pPr>
            <w:r>
              <w:t>43,012,777</w:t>
            </w:r>
          </w:p>
        </w:tc>
        <w:tc>
          <w:tcPr>
            <w:tcW w:w="2115" w:type="dxa"/>
          </w:tcPr>
          <w:p w14:paraId="4D82243C" w14:textId="77777777" w:rsidR="0007581F" w:rsidRPr="004F3FAE" w:rsidRDefault="004F3FAE" w:rsidP="00736FA5">
            <w:pPr>
              <w:pStyle w:val="TableBodyText"/>
              <w:ind w:right="533"/>
              <w:jc w:val="right"/>
              <w:cnfStyle w:val="000000000000" w:firstRow="0" w:lastRow="0" w:firstColumn="0" w:lastColumn="0" w:oddVBand="0" w:evenVBand="0" w:oddHBand="0" w:evenHBand="0" w:firstRowFirstColumn="0" w:firstRowLastColumn="0" w:lastRowFirstColumn="0" w:lastRowLastColumn="0"/>
            </w:pPr>
            <w:r>
              <w:t>41,195,850</w:t>
            </w:r>
          </w:p>
        </w:tc>
        <w:tc>
          <w:tcPr>
            <w:tcW w:w="2115" w:type="dxa"/>
          </w:tcPr>
          <w:p w14:paraId="14B4E439" w14:textId="77777777" w:rsidR="0007581F" w:rsidRPr="004F3FAE" w:rsidRDefault="004F3FAE" w:rsidP="00736FA5">
            <w:pPr>
              <w:pStyle w:val="TableBodyText"/>
              <w:ind w:right="542"/>
              <w:jc w:val="right"/>
              <w:cnfStyle w:val="000000000000" w:firstRow="0" w:lastRow="0" w:firstColumn="0" w:lastColumn="0" w:oddVBand="0" w:evenVBand="0" w:oddHBand="0" w:evenHBand="0" w:firstRowFirstColumn="0" w:firstRowLastColumn="0" w:lastRowFirstColumn="0" w:lastRowLastColumn="0"/>
            </w:pPr>
            <w:r>
              <w:t>41,143,953</w:t>
            </w:r>
          </w:p>
        </w:tc>
      </w:tr>
      <w:tr w:rsidR="0007581F" w:rsidRPr="004F3FAE" w14:paraId="71A64492" w14:textId="77777777" w:rsidTr="00736FA5">
        <w:trPr>
          <w:cantSplit w:val="0"/>
        </w:trPr>
        <w:tc>
          <w:tcPr>
            <w:cnfStyle w:val="001000000000" w:firstRow="0" w:lastRow="0" w:firstColumn="1" w:lastColumn="0" w:oddVBand="0" w:evenVBand="0" w:oddHBand="0" w:evenHBand="0" w:firstRowFirstColumn="0" w:firstRowLastColumn="0" w:lastRowFirstColumn="0" w:lastRowLastColumn="0"/>
            <w:tcW w:w="2295" w:type="dxa"/>
          </w:tcPr>
          <w:p w14:paraId="023AF3AF" w14:textId="77777777" w:rsidR="0007581F" w:rsidRPr="004F3FAE" w:rsidRDefault="004F3FAE" w:rsidP="00F03875">
            <w:pPr>
              <w:pStyle w:val="TableBodyText"/>
            </w:pPr>
            <w:r>
              <w:t>Savings vs. U</w:t>
            </w:r>
            <w:r w:rsidR="00F03875">
              <w:t xml:space="preserve">nited </w:t>
            </w:r>
            <w:r>
              <w:t>S</w:t>
            </w:r>
            <w:r w:rsidR="00F03875">
              <w:t>tates</w:t>
            </w:r>
          </w:p>
        </w:tc>
        <w:tc>
          <w:tcPr>
            <w:tcW w:w="2115" w:type="dxa"/>
          </w:tcPr>
          <w:p w14:paraId="2AA329DD" w14:textId="77777777" w:rsidR="0007581F" w:rsidRPr="004F3FAE" w:rsidRDefault="004F3FAE" w:rsidP="00736FA5">
            <w:pPr>
              <w:pStyle w:val="TableBodyText"/>
              <w:ind w:right="506"/>
              <w:jc w:val="right"/>
              <w:cnfStyle w:val="000000000000" w:firstRow="0" w:lastRow="0" w:firstColumn="0" w:lastColumn="0" w:oddVBand="0" w:evenVBand="0" w:oddHBand="0" w:evenHBand="0" w:firstRowFirstColumn="0" w:firstRowLastColumn="0" w:lastRowFirstColumn="0" w:lastRowLastColumn="0"/>
            </w:pPr>
            <w:r>
              <w:t>0</w:t>
            </w:r>
          </w:p>
        </w:tc>
        <w:tc>
          <w:tcPr>
            <w:tcW w:w="2115" w:type="dxa"/>
          </w:tcPr>
          <w:p w14:paraId="5089B9FC" w14:textId="77777777" w:rsidR="0007581F" w:rsidRPr="004F3FAE" w:rsidRDefault="004F3FAE" w:rsidP="00736FA5">
            <w:pPr>
              <w:pStyle w:val="TableBodyText"/>
              <w:ind w:right="533"/>
              <w:jc w:val="right"/>
              <w:cnfStyle w:val="000000000000" w:firstRow="0" w:lastRow="0" w:firstColumn="0" w:lastColumn="0" w:oddVBand="0" w:evenVBand="0" w:oddHBand="0" w:evenHBand="0" w:firstRowFirstColumn="0" w:firstRowLastColumn="0" w:lastRowFirstColumn="0" w:lastRowLastColumn="0"/>
            </w:pPr>
            <w:r>
              <w:t>1,816,926</w:t>
            </w:r>
          </w:p>
        </w:tc>
        <w:tc>
          <w:tcPr>
            <w:tcW w:w="2115" w:type="dxa"/>
          </w:tcPr>
          <w:p w14:paraId="4EB0D9F4" w14:textId="77777777" w:rsidR="0007581F" w:rsidRPr="004F3FAE" w:rsidRDefault="004F3FAE" w:rsidP="00736FA5">
            <w:pPr>
              <w:pStyle w:val="TableBodyText"/>
              <w:ind w:right="542"/>
              <w:jc w:val="right"/>
              <w:cnfStyle w:val="000000000000" w:firstRow="0" w:lastRow="0" w:firstColumn="0" w:lastColumn="0" w:oddVBand="0" w:evenVBand="0" w:oddHBand="0" w:evenHBand="0" w:firstRowFirstColumn="0" w:firstRowLastColumn="0" w:lastRowFirstColumn="0" w:lastRowLastColumn="0"/>
            </w:pPr>
            <w:r>
              <w:t>1,868,824</w:t>
            </w:r>
          </w:p>
        </w:tc>
      </w:tr>
    </w:tbl>
    <w:p w14:paraId="12A19A90" w14:textId="77777777" w:rsidR="00381B57" w:rsidRDefault="00381B57" w:rsidP="00FA4D0D">
      <w:pPr>
        <w:rPr>
          <w:rFonts w:cstheme="minorHAnsi"/>
          <w:sz w:val="24"/>
          <w:szCs w:val="24"/>
        </w:rPr>
      </w:pPr>
    </w:p>
    <w:p w14:paraId="5CB35429" w14:textId="77777777" w:rsidR="00FA4D0D" w:rsidRPr="001B6047" w:rsidRDefault="00F03875" w:rsidP="00381B57">
      <w:r>
        <w:lastRenderedPageBreak/>
        <w:t>The p</w:t>
      </w:r>
      <w:r w:rsidR="00FA4D0D">
        <w:t>eso has to strengthen by about 12</w:t>
      </w:r>
      <w:r w:rsidR="0064121C">
        <w:t xml:space="preserve"> percent</w:t>
      </w:r>
      <w:r w:rsidR="00FA4D0D">
        <w:t xml:space="preserve"> in 2008 (and continue all other trends) to make Mexico more expensive than the United States. Meanwhile, the </w:t>
      </w:r>
      <w:r>
        <w:t>y</w:t>
      </w:r>
      <w:r w:rsidR="00FA4D0D">
        <w:t>uan has to strengthen by about 9</w:t>
      </w:r>
      <w:r w:rsidR="0064121C">
        <w:t xml:space="preserve"> percent</w:t>
      </w:r>
      <w:r w:rsidR="00FA4D0D">
        <w:t xml:space="preserve"> to make China less attractive than the United States. Thus, a key question that the company must consider is whether they expect the </w:t>
      </w:r>
      <w:r>
        <w:t xml:space="preserve">peso or the yuan </w:t>
      </w:r>
      <w:r w:rsidR="00FA4D0D">
        <w:t>to have a higher chance of strengthening in the future relative to the dollar.</w:t>
      </w:r>
    </w:p>
    <w:p w14:paraId="66B09E88" w14:textId="77777777" w:rsidR="00FA4D0D" w:rsidRPr="00381B57" w:rsidRDefault="00381B57" w:rsidP="00381B57">
      <w:pPr>
        <w:pStyle w:val="Heading4"/>
      </w:pPr>
      <w:r>
        <w:t xml:space="preserve">4. </w:t>
      </w:r>
      <w:r w:rsidR="00FA4D0D" w:rsidRPr="00381B57">
        <w:t>Assuming all else is constant</w:t>
      </w:r>
      <w:r w:rsidR="00D5741D">
        <w:t>,</w:t>
      </w:r>
      <w:r w:rsidR="00FA4D0D" w:rsidRPr="00381B57">
        <w:t xml:space="preserve"> would your recommendation change if labor rates in Mexico increased by 20</w:t>
      </w:r>
      <w:r w:rsidR="0064121C">
        <w:t xml:space="preserve"> percent</w:t>
      </w:r>
      <w:r w:rsidR="00FA4D0D" w:rsidRPr="00381B57">
        <w:t xml:space="preserve"> annually instead of 7.1</w:t>
      </w:r>
      <w:r w:rsidR="0064121C">
        <w:t xml:space="preserve"> percent</w:t>
      </w:r>
      <w:r w:rsidR="00FA4D0D" w:rsidRPr="00381B57">
        <w:t>?</w:t>
      </w:r>
    </w:p>
    <w:p w14:paraId="20BEA7FE" w14:textId="77777777" w:rsidR="00FA4D0D" w:rsidRDefault="00FA4D0D" w:rsidP="00381B57">
      <w:r w:rsidRPr="00582DD9">
        <w:t xml:space="preserve">In its calculations, Polaris management is assuming a </w:t>
      </w:r>
      <w:r>
        <w:t>7.1</w:t>
      </w:r>
      <w:r w:rsidR="0064121C">
        <w:t xml:space="preserve"> percent</w:t>
      </w:r>
      <w:r w:rsidRPr="00582DD9">
        <w:t xml:space="preserve"> annual increase in labor costs in Mexico. T</w:t>
      </w:r>
      <w:r w:rsidR="00736FA5">
        <w:t>h</w:t>
      </w:r>
      <w:r w:rsidRPr="00582DD9">
        <w:t xml:space="preserve">e goal </w:t>
      </w:r>
      <w:r w:rsidR="00736FA5">
        <w:t xml:space="preserve">of </w:t>
      </w:r>
      <w:r w:rsidR="00736FA5" w:rsidRPr="00582DD9">
        <w:t xml:space="preserve">this question </w:t>
      </w:r>
      <w:r w:rsidRPr="00582DD9">
        <w:t xml:space="preserve">is to evaluate whether moving operations to Mexico </w:t>
      </w:r>
      <w:r>
        <w:t xml:space="preserve">would </w:t>
      </w:r>
      <w:r w:rsidRPr="00582DD9">
        <w:t xml:space="preserve">still </w:t>
      </w:r>
      <w:r>
        <w:t>show</w:t>
      </w:r>
      <w:r w:rsidRPr="00582DD9">
        <w:t xml:space="preserve"> a cost advantage </w:t>
      </w:r>
      <w:r>
        <w:t>if</w:t>
      </w:r>
      <w:r w:rsidRPr="00582DD9">
        <w:t xml:space="preserve"> labor costs </w:t>
      </w:r>
      <w:r>
        <w:t xml:space="preserve">were to </w:t>
      </w:r>
      <w:r w:rsidRPr="00582DD9">
        <w:t>increase significantly. The analysis below shows that even if labor costs in Mexico increased by 20</w:t>
      </w:r>
      <w:r w:rsidR="0064121C">
        <w:t xml:space="preserve"> percent</w:t>
      </w:r>
      <w:r w:rsidRPr="00582DD9">
        <w:t xml:space="preserve"> a year over the </w:t>
      </w:r>
      <w:r w:rsidR="00D5741D">
        <w:t>five-</w:t>
      </w:r>
      <w:r w:rsidRPr="00582DD9">
        <w:t xml:space="preserve">year forecast period, Mexico still offers greater cost savings than China. This result further </w:t>
      </w:r>
      <w:r>
        <w:t>demonstrates</w:t>
      </w:r>
      <w:r w:rsidRPr="00582DD9">
        <w:t xml:space="preserve"> the effect that transportation cost has on </w:t>
      </w:r>
      <w:r>
        <w:t xml:space="preserve">the </w:t>
      </w:r>
      <w:r w:rsidRPr="00582DD9">
        <w:t>total delivered cost of a product manufactured in a foreign facility.</w:t>
      </w:r>
    </w:p>
    <w:p w14:paraId="4D3F73EB" w14:textId="77777777" w:rsidR="00D5741D" w:rsidRPr="00D5741D" w:rsidRDefault="00D5741D" w:rsidP="00D5741D">
      <w:pPr>
        <w:pStyle w:val="TableTitle"/>
        <w:rPr>
          <w:b w:val="0"/>
        </w:rPr>
      </w:pPr>
      <w:r w:rsidRPr="00D5741D">
        <w:rPr>
          <w:b w:val="0"/>
        </w:rPr>
        <w:t>Projected Annual Wage Growth</w:t>
      </w:r>
    </w:p>
    <w:tbl>
      <w:tblPr>
        <w:tblStyle w:val="TableGrid"/>
        <w:tblW w:w="0" w:type="auto"/>
        <w:tblInd w:w="115" w:type="dxa"/>
        <w:tblLayout w:type="fixed"/>
        <w:tblLook w:val="04A0" w:firstRow="1" w:lastRow="0" w:firstColumn="1" w:lastColumn="0" w:noHBand="0" w:noVBand="1"/>
      </w:tblPr>
      <w:tblGrid>
        <w:gridCol w:w="900"/>
        <w:gridCol w:w="1089"/>
        <w:gridCol w:w="1089"/>
      </w:tblGrid>
      <w:tr w:rsidR="00D5741D" w14:paraId="380705FC" w14:textId="77777777" w:rsidTr="00736FA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00" w:type="dxa"/>
          </w:tcPr>
          <w:p w14:paraId="164EE480" w14:textId="77777777" w:rsidR="00D5741D" w:rsidRDefault="00D5741D" w:rsidP="00097339">
            <w:pPr>
              <w:pStyle w:val="TableBodyText"/>
            </w:pPr>
          </w:p>
        </w:tc>
        <w:tc>
          <w:tcPr>
            <w:tcW w:w="1089" w:type="dxa"/>
            <w:tcBorders>
              <w:right w:val="single" w:sz="4" w:space="0" w:color="auto"/>
            </w:tcBorders>
          </w:tcPr>
          <w:p w14:paraId="6BA0CC14" w14:textId="77777777" w:rsidR="00D5741D" w:rsidRDefault="00D5741D" w:rsidP="00097339">
            <w:pPr>
              <w:pStyle w:val="TableBodyText"/>
              <w:cnfStyle w:val="100000000000" w:firstRow="1" w:lastRow="0" w:firstColumn="0" w:lastColumn="0" w:oddVBand="0" w:evenVBand="0" w:oddHBand="0" w:evenHBand="0" w:firstRowFirstColumn="0" w:firstRowLastColumn="0" w:lastRowFirstColumn="0" w:lastRowLastColumn="0"/>
            </w:pPr>
          </w:p>
        </w:tc>
        <w:tc>
          <w:tcPr>
            <w:tcW w:w="1089" w:type="dxa"/>
            <w:tcBorders>
              <w:left w:val="single" w:sz="4" w:space="0" w:color="auto"/>
            </w:tcBorders>
          </w:tcPr>
          <w:p w14:paraId="12C20358" w14:textId="77777777" w:rsidR="00D5741D" w:rsidRDefault="00D5741D" w:rsidP="00097339">
            <w:pPr>
              <w:pStyle w:val="TableBodyText"/>
              <w:jc w:val="center"/>
              <w:cnfStyle w:val="100000000000" w:firstRow="1" w:lastRow="0" w:firstColumn="0" w:lastColumn="0" w:oddVBand="0" w:evenVBand="0" w:oddHBand="0" w:evenHBand="0" w:firstRowFirstColumn="0" w:firstRowLastColumn="0" w:lastRowFirstColumn="0" w:lastRowLastColumn="0"/>
            </w:pPr>
            <w:r>
              <w:t>Multiplier</w:t>
            </w:r>
          </w:p>
        </w:tc>
      </w:tr>
      <w:tr w:rsidR="00D5741D" w14:paraId="60CC3E0E" w14:textId="77777777" w:rsidTr="00736FA5">
        <w:tc>
          <w:tcPr>
            <w:cnfStyle w:val="001000000000" w:firstRow="0" w:lastRow="0" w:firstColumn="1" w:lastColumn="0" w:oddVBand="0" w:evenVBand="0" w:oddHBand="0" w:evenHBand="0" w:firstRowFirstColumn="0" w:firstRowLastColumn="0" w:lastRowFirstColumn="0" w:lastRowLastColumn="0"/>
            <w:tcW w:w="900" w:type="dxa"/>
            <w:tcBorders>
              <w:bottom w:val="nil"/>
            </w:tcBorders>
          </w:tcPr>
          <w:p w14:paraId="007D652D" w14:textId="77777777" w:rsidR="00D5741D" w:rsidRDefault="00D5741D" w:rsidP="00097339">
            <w:pPr>
              <w:pStyle w:val="TableBodyText"/>
            </w:pPr>
            <w:r>
              <w:t>Mexico</w:t>
            </w:r>
          </w:p>
        </w:tc>
        <w:tc>
          <w:tcPr>
            <w:tcW w:w="1089" w:type="dxa"/>
            <w:tcBorders>
              <w:bottom w:val="nil"/>
              <w:right w:val="single" w:sz="4" w:space="0" w:color="auto"/>
            </w:tcBorders>
          </w:tcPr>
          <w:p w14:paraId="659F0D8B" w14:textId="77777777" w:rsidR="00D5741D" w:rsidRDefault="00D5741D" w:rsidP="00097339">
            <w:pPr>
              <w:pStyle w:val="TableBodyText"/>
              <w:jc w:val="center"/>
              <w:cnfStyle w:val="000000000000" w:firstRow="0" w:lastRow="0" w:firstColumn="0" w:lastColumn="0" w:oddVBand="0" w:evenVBand="0" w:oddHBand="0" w:evenHBand="0" w:firstRowFirstColumn="0" w:firstRowLastColumn="0" w:lastRowFirstColumn="0" w:lastRowLastColumn="0"/>
            </w:pPr>
            <w:r>
              <w:t>20.0%</w:t>
            </w:r>
          </w:p>
        </w:tc>
        <w:tc>
          <w:tcPr>
            <w:tcW w:w="1089" w:type="dxa"/>
            <w:tcBorders>
              <w:left w:val="single" w:sz="4" w:space="0" w:color="auto"/>
              <w:bottom w:val="nil"/>
            </w:tcBorders>
          </w:tcPr>
          <w:p w14:paraId="21D76F0E" w14:textId="77777777" w:rsidR="00D5741D" w:rsidRDefault="00D5741D" w:rsidP="00097339">
            <w:pPr>
              <w:pStyle w:val="TableBodyText"/>
              <w:ind w:left="-385" w:right="335"/>
              <w:jc w:val="right"/>
              <w:cnfStyle w:val="000000000000" w:firstRow="0" w:lastRow="0" w:firstColumn="0" w:lastColumn="0" w:oddVBand="0" w:evenVBand="0" w:oddHBand="0" w:evenHBand="0" w:firstRowFirstColumn="0" w:firstRowLastColumn="0" w:lastRowFirstColumn="0" w:lastRowLastColumn="0"/>
            </w:pPr>
            <w:r>
              <w:t>2.8</w:t>
            </w:r>
          </w:p>
        </w:tc>
      </w:tr>
      <w:tr w:rsidR="00D5741D" w14:paraId="0B636A72" w14:textId="77777777" w:rsidTr="00736FA5">
        <w:tc>
          <w:tcPr>
            <w:cnfStyle w:val="001000000000" w:firstRow="0" w:lastRow="0" w:firstColumn="1" w:lastColumn="0" w:oddVBand="0" w:evenVBand="0" w:oddHBand="0" w:evenHBand="0" w:firstRowFirstColumn="0" w:firstRowLastColumn="0" w:lastRowFirstColumn="0" w:lastRowLastColumn="0"/>
            <w:tcW w:w="900" w:type="dxa"/>
            <w:tcBorders>
              <w:bottom w:val="single" w:sz="4" w:space="0" w:color="auto"/>
            </w:tcBorders>
          </w:tcPr>
          <w:p w14:paraId="1675945A" w14:textId="77777777" w:rsidR="00D5741D" w:rsidRDefault="00D5741D" w:rsidP="00097339">
            <w:pPr>
              <w:pStyle w:val="TableBodyText"/>
            </w:pPr>
            <w:r>
              <w:t>China</w:t>
            </w:r>
          </w:p>
        </w:tc>
        <w:tc>
          <w:tcPr>
            <w:tcW w:w="1089" w:type="dxa"/>
            <w:tcBorders>
              <w:bottom w:val="single" w:sz="4" w:space="0" w:color="auto"/>
              <w:right w:val="single" w:sz="4" w:space="0" w:color="auto"/>
            </w:tcBorders>
          </w:tcPr>
          <w:p w14:paraId="37C8FE70" w14:textId="77777777" w:rsidR="00D5741D" w:rsidRDefault="00D5741D" w:rsidP="00097339">
            <w:pPr>
              <w:pStyle w:val="TableBodyText"/>
              <w:jc w:val="center"/>
              <w:cnfStyle w:val="000000000000" w:firstRow="0" w:lastRow="0" w:firstColumn="0" w:lastColumn="0" w:oddVBand="0" w:evenVBand="0" w:oddHBand="0" w:evenHBand="0" w:firstRowFirstColumn="0" w:firstRowLastColumn="0" w:lastRowFirstColumn="0" w:lastRowLastColumn="0"/>
            </w:pPr>
            <w:r>
              <w:t>13.4%</w:t>
            </w:r>
          </w:p>
        </w:tc>
        <w:tc>
          <w:tcPr>
            <w:tcW w:w="1089" w:type="dxa"/>
            <w:tcBorders>
              <w:left w:val="single" w:sz="4" w:space="0" w:color="auto"/>
              <w:bottom w:val="single" w:sz="4" w:space="0" w:color="auto"/>
            </w:tcBorders>
          </w:tcPr>
          <w:p w14:paraId="34D5DBF1" w14:textId="77777777" w:rsidR="00D5741D" w:rsidRDefault="00D5741D" w:rsidP="00097339">
            <w:pPr>
              <w:pStyle w:val="TableBodyText"/>
              <w:ind w:left="-385" w:right="335"/>
              <w:jc w:val="right"/>
              <w:cnfStyle w:val="000000000000" w:firstRow="0" w:lastRow="0" w:firstColumn="0" w:lastColumn="0" w:oddVBand="0" w:evenVBand="0" w:oddHBand="0" w:evenHBand="0" w:firstRowFirstColumn="0" w:firstRowLastColumn="0" w:lastRowFirstColumn="0" w:lastRowLastColumn="0"/>
            </w:pPr>
            <w:r>
              <w:t>1</w:t>
            </w:r>
          </w:p>
        </w:tc>
      </w:tr>
    </w:tbl>
    <w:p w14:paraId="7FF74C3C" w14:textId="77777777" w:rsidR="00D5741D" w:rsidRDefault="00D5741D"/>
    <w:tbl>
      <w:tblPr>
        <w:tblStyle w:val="TableGrid"/>
        <w:tblW w:w="8640" w:type="dxa"/>
        <w:tblInd w:w="115" w:type="dxa"/>
        <w:tblLayout w:type="fixed"/>
        <w:tblLook w:val="04A0" w:firstRow="1" w:lastRow="0" w:firstColumn="1" w:lastColumn="0" w:noHBand="0" w:noVBand="1"/>
      </w:tblPr>
      <w:tblGrid>
        <w:gridCol w:w="2277"/>
        <w:gridCol w:w="2121"/>
        <w:gridCol w:w="2121"/>
        <w:gridCol w:w="2121"/>
      </w:tblGrid>
      <w:tr w:rsidR="00097339" w14:paraId="527A2E24" w14:textId="77777777" w:rsidTr="00736FA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77" w:type="dxa"/>
            <w:vAlign w:val="bottom"/>
          </w:tcPr>
          <w:p w14:paraId="4D349C2C" w14:textId="77777777" w:rsidR="00097339" w:rsidRDefault="00097339" w:rsidP="00097339">
            <w:pPr>
              <w:pStyle w:val="TableBodyText"/>
            </w:pPr>
          </w:p>
        </w:tc>
        <w:tc>
          <w:tcPr>
            <w:tcW w:w="2121" w:type="dxa"/>
            <w:vAlign w:val="bottom"/>
          </w:tcPr>
          <w:p w14:paraId="76581FEB" w14:textId="77777777" w:rsidR="00097339" w:rsidRDefault="00415689" w:rsidP="00097339">
            <w:pPr>
              <w:pStyle w:val="TableBodyText"/>
              <w:jc w:val="center"/>
              <w:cnfStyle w:val="100000000000" w:firstRow="1" w:lastRow="0" w:firstColumn="0" w:lastColumn="0" w:oddVBand="0" w:evenVBand="0" w:oddHBand="0" w:evenHBand="0" w:firstRowFirstColumn="0" w:firstRowLastColumn="0" w:lastRowFirstColumn="0" w:lastRowLastColumn="0"/>
            </w:pPr>
            <w:r>
              <w:t>United States</w:t>
            </w:r>
            <w:r>
              <w:br/>
              <w:t>(US$)</w:t>
            </w:r>
          </w:p>
        </w:tc>
        <w:tc>
          <w:tcPr>
            <w:tcW w:w="2121" w:type="dxa"/>
            <w:vAlign w:val="bottom"/>
          </w:tcPr>
          <w:p w14:paraId="2DCD75B4" w14:textId="77777777" w:rsidR="00097339" w:rsidRDefault="00097339" w:rsidP="00097339">
            <w:pPr>
              <w:pStyle w:val="TableBodyText"/>
              <w:jc w:val="center"/>
              <w:cnfStyle w:val="100000000000" w:firstRow="1" w:lastRow="0" w:firstColumn="0" w:lastColumn="0" w:oddVBand="0" w:evenVBand="0" w:oddHBand="0" w:evenHBand="0" w:firstRowFirstColumn="0" w:firstRowLastColumn="0" w:lastRowFirstColumn="0" w:lastRowLastColumn="0"/>
            </w:pPr>
            <w:r>
              <w:t>Mexico</w:t>
            </w:r>
            <w:r w:rsidR="00415689">
              <w:br/>
              <w:t>(US$)</w:t>
            </w:r>
          </w:p>
        </w:tc>
        <w:tc>
          <w:tcPr>
            <w:tcW w:w="2121" w:type="dxa"/>
            <w:vAlign w:val="bottom"/>
          </w:tcPr>
          <w:p w14:paraId="3E2953A1" w14:textId="77777777" w:rsidR="00097339" w:rsidRDefault="00097339" w:rsidP="00097339">
            <w:pPr>
              <w:pStyle w:val="TableBodyText"/>
              <w:jc w:val="center"/>
              <w:cnfStyle w:val="100000000000" w:firstRow="1" w:lastRow="0" w:firstColumn="0" w:lastColumn="0" w:oddVBand="0" w:evenVBand="0" w:oddHBand="0" w:evenHBand="0" w:firstRowFirstColumn="0" w:firstRowLastColumn="0" w:lastRowFirstColumn="0" w:lastRowLastColumn="0"/>
            </w:pPr>
            <w:r>
              <w:t>China</w:t>
            </w:r>
            <w:r w:rsidR="00415689">
              <w:br/>
              <w:t>(US$)</w:t>
            </w:r>
          </w:p>
        </w:tc>
      </w:tr>
      <w:tr w:rsidR="00097339" w14:paraId="405010B8" w14:textId="77777777" w:rsidTr="00736FA5">
        <w:trPr>
          <w:cantSplit w:val="0"/>
        </w:trPr>
        <w:tc>
          <w:tcPr>
            <w:cnfStyle w:val="001000000000" w:firstRow="0" w:lastRow="0" w:firstColumn="1" w:lastColumn="0" w:oddVBand="0" w:evenVBand="0" w:oddHBand="0" w:evenHBand="0" w:firstRowFirstColumn="0" w:firstRowLastColumn="0" w:lastRowFirstColumn="0" w:lastRowLastColumn="0"/>
            <w:tcW w:w="2277" w:type="dxa"/>
            <w:tcBorders>
              <w:top w:val="single" w:sz="4" w:space="0" w:color="auto"/>
            </w:tcBorders>
          </w:tcPr>
          <w:p w14:paraId="3448EF13" w14:textId="77777777" w:rsidR="00097339" w:rsidRDefault="00415689" w:rsidP="00097339">
            <w:pPr>
              <w:pStyle w:val="TableBodyText"/>
            </w:pPr>
            <w:r>
              <w:t xml:space="preserve">Net present cost </w:t>
            </w:r>
          </w:p>
        </w:tc>
        <w:tc>
          <w:tcPr>
            <w:tcW w:w="2121" w:type="dxa"/>
            <w:tcBorders>
              <w:top w:val="single" w:sz="4" w:space="0" w:color="auto"/>
            </w:tcBorders>
          </w:tcPr>
          <w:p w14:paraId="6D087721" w14:textId="77777777" w:rsidR="00097339" w:rsidRDefault="00097339" w:rsidP="00736FA5">
            <w:pPr>
              <w:pStyle w:val="TableBodyText"/>
              <w:ind w:right="530"/>
              <w:jc w:val="right"/>
              <w:cnfStyle w:val="000000000000" w:firstRow="0" w:lastRow="0" w:firstColumn="0" w:lastColumn="0" w:oddVBand="0" w:evenVBand="0" w:oddHBand="0" w:evenHBand="0" w:firstRowFirstColumn="0" w:firstRowLastColumn="0" w:lastRowFirstColumn="0" w:lastRowLastColumn="0"/>
            </w:pPr>
            <w:r>
              <w:t>43,012,777</w:t>
            </w:r>
          </w:p>
        </w:tc>
        <w:tc>
          <w:tcPr>
            <w:tcW w:w="2121" w:type="dxa"/>
            <w:tcBorders>
              <w:top w:val="single" w:sz="4" w:space="0" w:color="auto"/>
            </w:tcBorders>
          </w:tcPr>
          <w:p w14:paraId="78CF14E9" w14:textId="77777777" w:rsidR="00097339" w:rsidRDefault="00097339" w:rsidP="00736FA5">
            <w:pPr>
              <w:pStyle w:val="TableBodyText"/>
              <w:ind w:right="518"/>
              <w:jc w:val="right"/>
              <w:cnfStyle w:val="000000000000" w:firstRow="0" w:lastRow="0" w:firstColumn="0" w:lastColumn="0" w:oddVBand="0" w:evenVBand="0" w:oddHBand="0" w:evenHBand="0" w:firstRowFirstColumn="0" w:firstRowLastColumn="0" w:lastRowFirstColumn="0" w:lastRowLastColumn="0"/>
            </w:pPr>
            <w:r>
              <w:t>41,103,661</w:t>
            </w:r>
          </w:p>
        </w:tc>
        <w:tc>
          <w:tcPr>
            <w:tcW w:w="2121" w:type="dxa"/>
            <w:tcBorders>
              <w:top w:val="single" w:sz="4" w:space="0" w:color="auto"/>
            </w:tcBorders>
          </w:tcPr>
          <w:p w14:paraId="3B622C73" w14:textId="77777777" w:rsidR="00097339" w:rsidRDefault="00097339" w:rsidP="00736FA5">
            <w:pPr>
              <w:pStyle w:val="TableBodyText"/>
              <w:ind w:right="533"/>
              <w:jc w:val="right"/>
              <w:cnfStyle w:val="000000000000" w:firstRow="0" w:lastRow="0" w:firstColumn="0" w:lastColumn="0" w:oddVBand="0" w:evenVBand="0" w:oddHBand="0" w:evenHBand="0" w:firstRowFirstColumn="0" w:firstRowLastColumn="0" w:lastRowFirstColumn="0" w:lastRowLastColumn="0"/>
            </w:pPr>
            <w:r>
              <w:t>41,143,953</w:t>
            </w:r>
          </w:p>
        </w:tc>
      </w:tr>
      <w:tr w:rsidR="00097339" w14:paraId="67053503" w14:textId="77777777" w:rsidTr="00736FA5">
        <w:trPr>
          <w:cantSplit w:val="0"/>
        </w:trPr>
        <w:tc>
          <w:tcPr>
            <w:cnfStyle w:val="001000000000" w:firstRow="0" w:lastRow="0" w:firstColumn="1" w:lastColumn="0" w:oddVBand="0" w:evenVBand="0" w:oddHBand="0" w:evenHBand="0" w:firstRowFirstColumn="0" w:firstRowLastColumn="0" w:lastRowFirstColumn="0" w:lastRowLastColumn="0"/>
            <w:tcW w:w="2277" w:type="dxa"/>
          </w:tcPr>
          <w:p w14:paraId="5A9E2D9F" w14:textId="77777777" w:rsidR="00097339" w:rsidRDefault="00097339" w:rsidP="00415689">
            <w:pPr>
              <w:pStyle w:val="TableBodyText"/>
            </w:pPr>
            <w:r>
              <w:t>Savings vs. U</w:t>
            </w:r>
            <w:r w:rsidR="00415689">
              <w:t xml:space="preserve">nited </w:t>
            </w:r>
            <w:r>
              <w:t>S</w:t>
            </w:r>
            <w:r w:rsidR="00415689">
              <w:t>tates</w:t>
            </w:r>
          </w:p>
        </w:tc>
        <w:tc>
          <w:tcPr>
            <w:tcW w:w="2121" w:type="dxa"/>
          </w:tcPr>
          <w:p w14:paraId="0149113F" w14:textId="77777777" w:rsidR="00097339" w:rsidRDefault="00097339" w:rsidP="00736FA5">
            <w:pPr>
              <w:pStyle w:val="TableBodyText"/>
              <w:ind w:right="530"/>
              <w:jc w:val="right"/>
              <w:cnfStyle w:val="000000000000" w:firstRow="0" w:lastRow="0" w:firstColumn="0" w:lastColumn="0" w:oddVBand="0" w:evenVBand="0" w:oddHBand="0" w:evenHBand="0" w:firstRowFirstColumn="0" w:firstRowLastColumn="0" w:lastRowFirstColumn="0" w:lastRowLastColumn="0"/>
            </w:pPr>
            <w:r>
              <w:t>0</w:t>
            </w:r>
          </w:p>
        </w:tc>
        <w:tc>
          <w:tcPr>
            <w:tcW w:w="2121" w:type="dxa"/>
          </w:tcPr>
          <w:p w14:paraId="6B274140" w14:textId="77777777" w:rsidR="00097339" w:rsidRDefault="00097339" w:rsidP="00736FA5">
            <w:pPr>
              <w:pStyle w:val="TableBodyText"/>
              <w:ind w:right="518"/>
              <w:jc w:val="right"/>
              <w:cnfStyle w:val="000000000000" w:firstRow="0" w:lastRow="0" w:firstColumn="0" w:lastColumn="0" w:oddVBand="0" w:evenVBand="0" w:oddHBand="0" w:evenHBand="0" w:firstRowFirstColumn="0" w:firstRowLastColumn="0" w:lastRowFirstColumn="0" w:lastRowLastColumn="0"/>
            </w:pPr>
            <w:r>
              <w:t>1,909,116</w:t>
            </w:r>
          </w:p>
        </w:tc>
        <w:tc>
          <w:tcPr>
            <w:tcW w:w="2121" w:type="dxa"/>
          </w:tcPr>
          <w:p w14:paraId="5BFF2A43" w14:textId="77777777" w:rsidR="00097339" w:rsidRDefault="00097339" w:rsidP="00736FA5">
            <w:pPr>
              <w:pStyle w:val="TableBodyText"/>
              <w:ind w:right="533"/>
              <w:jc w:val="right"/>
              <w:cnfStyle w:val="000000000000" w:firstRow="0" w:lastRow="0" w:firstColumn="0" w:lastColumn="0" w:oddVBand="0" w:evenVBand="0" w:oddHBand="0" w:evenHBand="0" w:firstRowFirstColumn="0" w:firstRowLastColumn="0" w:lastRowFirstColumn="0" w:lastRowLastColumn="0"/>
            </w:pPr>
            <w:r>
              <w:t>1,868,824</w:t>
            </w:r>
          </w:p>
        </w:tc>
      </w:tr>
    </w:tbl>
    <w:p w14:paraId="4DCFAAC7" w14:textId="77777777" w:rsidR="00097339" w:rsidRDefault="00097339" w:rsidP="00097339"/>
    <w:p w14:paraId="32D76358" w14:textId="77777777" w:rsidR="00FA4D0D" w:rsidRPr="00582DD9" w:rsidRDefault="00381B57" w:rsidP="00381B57">
      <w:pPr>
        <w:pStyle w:val="Heading4"/>
      </w:pPr>
      <w:r>
        <w:t xml:space="preserve">5. </w:t>
      </w:r>
      <w:r w:rsidR="00FA4D0D" w:rsidRPr="00582DD9">
        <w:t xml:space="preserve">What other factors should Suresh </w:t>
      </w:r>
      <w:r w:rsidR="00736FA5">
        <w:t xml:space="preserve">Krishna </w:t>
      </w:r>
      <w:r w:rsidR="00FA4D0D" w:rsidRPr="00582DD9">
        <w:t>and his team consider when making the manufacturing location recommendation?</w:t>
      </w:r>
    </w:p>
    <w:p w14:paraId="0C0AF2A6" w14:textId="77777777" w:rsidR="00FA4D0D" w:rsidRPr="00582DD9" w:rsidRDefault="00FA4D0D" w:rsidP="00381B57">
      <w:r w:rsidRPr="00582DD9">
        <w:t>Besides the quantitative reasons for choosing to manufacture Side-by-Sides in Mexico, several qualitative parameters</w:t>
      </w:r>
      <w:r>
        <w:t xml:space="preserve"> were also considered</w:t>
      </w:r>
      <w:r w:rsidR="00736FA5">
        <w:t>.</w:t>
      </w:r>
    </w:p>
    <w:p w14:paraId="1B0B8F51" w14:textId="77777777" w:rsidR="00FA4D0D" w:rsidRPr="00582DD9" w:rsidRDefault="00FA4D0D" w:rsidP="00381B57">
      <w:r w:rsidRPr="00582DD9">
        <w:rPr>
          <w:i/>
        </w:rPr>
        <w:t>Transportation</w:t>
      </w:r>
      <w:r>
        <w:rPr>
          <w:i/>
        </w:rPr>
        <w:t xml:space="preserve"> lead times</w:t>
      </w:r>
      <w:r w:rsidRPr="00582DD9">
        <w:t>: Management was concerned with both the long lead time and variability in transportation time associated with manufacturin</w:t>
      </w:r>
      <w:r>
        <w:t>g in China. Due to the distance,</w:t>
      </w:r>
      <w:r w:rsidRPr="00582DD9">
        <w:t xml:space="preserve"> shipping time</w:t>
      </w:r>
      <w:r>
        <w:t>—</w:t>
      </w:r>
      <w:r w:rsidRPr="00582DD9">
        <w:t>and therefore order lead time</w:t>
      </w:r>
      <w:r>
        <w:t>—</w:t>
      </w:r>
      <w:r w:rsidRPr="00582DD9">
        <w:t xml:space="preserve">was expected to be much </w:t>
      </w:r>
      <w:r>
        <w:t>longer</w:t>
      </w:r>
      <w:r w:rsidRPr="00582DD9">
        <w:t xml:space="preserve"> </w:t>
      </w:r>
      <w:r w:rsidR="00AF3B81">
        <w:t>when</w:t>
      </w:r>
      <w:r w:rsidRPr="00582DD9">
        <w:t xml:space="preserve"> sourcing from China </w:t>
      </w:r>
      <w:r w:rsidR="00736FA5">
        <w:t>compared to</w:t>
      </w:r>
      <w:r w:rsidRPr="00582DD9">
        <w:t xml:space="preserve"> Mexico. The variability in transportation time was also higher when sourcing from </w:t>
      </w:r>
      <w:r>
        <w:t>China</w:t>
      </w:r>
      <w:r w:rsidRPr="00582DD9">
        <w:t xml:space="preserve">. Higher transportation time variability would lead to </w:t>
      </w:r>
      <w:r>
        <w:t>greater</w:t>
      </w:r>
      <w:r w:rsidRPr="00582DD9">
        <w:t xml:space="preserve"> unpredictability in delivery dates, meaning that Polaris would have to increase its </w:t>
      </w:r>
      <w:r>
        <w:t xml:space="preserve">investment in </w:t>
      </w:r>
      <w:r w:rsidRPr="00582DD9">
        <w:t>safety inventory to maintain current service levels.</w:t>
      </w:r>
    </w:p>
    <w:p w14:paraId="2585D511" w14:textId="77777777" w:rsidR="00FA4D0D" w:rsidRPr="00582DD9" w:rsidRDefault="00FA4D0D" w:rsidP="00381B57">
      <w:r w:rsidRPr="00582DD9">
        <w:rPr>
          <w:i/>
        </w:rPr>
        <w:t>Culture</w:t>
      </w:r>
      <w:r w:rsidRPr="00582DD9">
        <w:t xml:space="preserve">: Polaris management reported that </w:t>
      </w:r>
      <w:r w:rsidR="00736FA5">
        <w:t>it</w:t>
      </w:r>
      <w:r w:rsidRPr="00582DD9">
        <w:t xml:space="preserve"> felt more comfortable working with people in Mexico because they were schooled in the </w:t>
      </w:r>
      <w:r w:rsidR="00BE2C6B">
        <w:t>W</w:t>
      </w:r>
      <w:r w:rsidRPr="00582DD9">
        <w:t xml:space="preserve">estern way of doing business. </w:t>
      </w:r>
      <w:r w:rsidR="00736FA5">
        <w:t>Management</w:t>
      </w:r>
      <w:r w:rsidRPr="00582DD9">
        <w:t xml:space="preserve"> expected this to result in fewer communication issues between headquarters and the manufacturing facility.</w:t>
      </w:r>
    </w:p>
    <w:p w14:paraId="1A4BC153" w14:textId="77777777" w:rsidR="00FA4D0D" w:rsidRPr="00582DD9" w:rsidRDefault="00FA4D0D" w:rsidP="00381B57">
      <w:r w:rsidRPr="00582DD9">
        <w:rPr>
          <w:i/>
        </w:rPr>
        <w:t>Time-zone and physical proximity</w:t>
      </w:r>
      <w:r w:rsidRPr="00C15ED6">
        <w:t>:</w:t>
      </w:r>
      <w:r w:rsidRPr="00582DD9">
        <w:t xml:space="preserve"> There is only a </w:t>
      </w:r>
      <w:r w:rsidR="00BE2C6B">
        <w:t>one-</w:t>
      </w:r>
      <w:r w:rsidRPr="00582DD9">
        <w:t>hour time difference betwee</w:t>
      </w:r>
      <w:r w:rsidR="0064121C">
        <w:t>n Polaris headquarters in the United States</w:t>
      </w:r>
      <w:r w:rsidRPr="00582DD9">
        <w:t xml:space="preserve"> and Monte</w:t>
      </w:r>
      <w:r w:rsidR="00BE2C6B">
        <w:t>r</w:t>
      </w:r>
      <w:r w:rsidRPr="00582DD9">
        <w:t xml:space="preserve">rey, Mexico, compared to a </w:t>
      </w:r>
      <w:r w:rsidR="0064121C">
        <w:t>twelve</w:t>
      </w:r>
      <w:r w:rsidR="00BE2C6B">
        <w:t>-</w:t>
      </w:r>
      <w:r w:rsidRPr="00582DD9">
        <w:t xml:space="preserve">hour difference </w:t>
      </w:r>
      <w:r w:rsidRPr="00582DD9">
        <w:lastRenderedPageBreak/>
        <w:t xml:space="preserve">with China. In addition, management could quickly travel to Mexico if required to, </w:t>
      </w:r>
      <w:r w:rsidR="0095762B">
        <w:t>whereas</w:t>
      </w:r>
      <w:r w:rsidRPr="00582DD9">
        <w:t xml:space="preserve"> travel to China </w:t>
      </w:r>
      <w:r>
        <w:t>takes much longer</w:t>
      </w:r>
      <w:r w:rsidRPr="00582DD9">
        <w:t xml:space="preserve"> and requires a visa.</w:t>
      </w:r>
    </w:p>
    <w:p w14:paraId="67443FF4" w14:textId="77777777" w:rsidR="00FA4D0D" w:rsidRPr="00582DD9" w:rsidRDefault="00FA4D0D" w:rsidP="00381B57">
      <w:r w:rsidRPr="00582DD9">
        <w:rPr>
          <w:i/>
        </w:rPr>
        <w:t>Future sales growth</w:t>
      </w:r>
      <w:r w:rsidRPr="00C15ED6">
        <w:t xml:space="preserve">: </w:t>
      </w:r>
      <w:r w:rsidRPr="00582DD9">
        <w:t>Polaris expect</w:t>
      </w:r>
      <w:r>
        <w:t>ed</w:t>
      </w:r>
      <w:r w:rsidRPr="00582DD9">
        <w:t xml:space="preserve"> that much of its future sales growth </w:t>
      </w:r>
      <w:r>
        <w:t>would</w:t>
      </w:r>
      <w:r w:rsidRPr="00582DD9">
        <w:t xml:space="preserve"> come from emerging markets. In order to facilitate this demand, management is pursuing expansion into these markets. In terms of domestic sales growth, the majority of consumer demand for Side-by-Side</w:t>
      </w:r>
      <w:r w:rsidR="0095762B">
        <w:t>s is expected to remain in the s</w:t>
      </w:r>
      <w:r w:rsidRPr="00582DD9">
        <w:t>outhern half of the United States</w:t>
      </w:r>
      <w:r>
        <w:t>, which would be better served from Mexico</w:t>
      </w:r>
      <w:r w:rsidRPr="00582DD9">
        <w:t>.</w:t>
      </w:r>
    </w:p>
    <w:p w14:paraId="40565353" w14:textId="77777777" w:rsidR="00FA4D0D" w:rsidRPr="00582DD9" w:rsidRDefault="00FA4D0D" w:rsidP="00381B57">
      <w:r w:rsidRPr="00582DD9">
        <w:rPr>
          <w:i/>
        </w:rPr>
        <w:t xml:space="preserve">Consumer perception of </w:t>
      </w:r>
      <w:r w:rsidRPr="00C15ED6">
        <w:rPr>
          <w:i/>
        </w:rPr>
        <w:t>quality</w:t>
      </w:r>
      <w:r w:rsidRPr="00C15ED6">
        <w:t>:</w:t>
      </w:r>
      <w:r w:rsidRPr="00582DD9">
        <w:t xml:space="preserve"> Management was concerned that products would be perceived as being of lower quality if they were manufactured </w:t>
      </w:r>
      <w:r w:rsidR="0095762B">
        <w:t>in</w:t>
      </w:r>
      <w:r>
        <w:t xml:space="preserve"> either </w:t>
      </w:r>
      <w:r w:rsidR="0095762B">
        <w:t>Mexico or China</w:t>
      </w:r>
      <w:r>
        <w:t>.</w:t>
      </w:r>
    </w:p>
    <w:p w14:paraId="4AC76F45" w14:textId="77777777" w:rsidR="00FA4D0D" w:rsidRPr="00582DD9" w:rsidRDefault="00FA4D0D" w:rsidP="00381B57">
      <w:r w:rsidRPr="00582DD9">
        <w:rPr>
          <w:i/>
        </w:rPr>
        <w:t>Employee perception</w:t>
      </w:r>
      <w:r w:rsidRPr="00582DD9">
        <w:t xml:space="preserve">: Polaris management was concerned about a risk of backlash from </w:t>
      </w:r>
      <w:r>
        <w:t>American</w:t>
      </w:r>
      <w:r w:rsidRPr="00582DD9">
        <w:t xml:space="preserve"> employees and a reduction in productivity if some manufacturing was moved out of the </w:t>
      </w:r>
      <w:r>
        <w:t>United States</w:t>
      </w:r>
      <w:r w:rsidRPr="00582DD9">
        <w:t xml:space="preserve">. Polaris traditionally manufactured </w:t>
      </w:r>
      <w:r w:rsidR="0095762B">
        <w:t>exclusively in the United States</w:t>
      </w:r>
      <w:r w:rsidRPr="00582DD9">
        <w:t xml:space="preserve"> and </w:t>
      </w:r>
      <w:r>
        <w:t>was</w:t>
      </w:r>
      <w:r w:rsidRPr="00582DD9">
        <w:t xml:space="preserve"> a major employer in several small Midwestern towns.</w:t>
      </w:r>
    </w:p>
    <w:p w14:paraId="600474EB" w14:textId="77777777" w:rsidR="00FA4D0D" w:rsidRPr="00381B57" w:rsidRDefault="00FA4D0D" w:rsidP="00381B57">
      <w:r w:rsidRPr="00582DD9">
        <w:rPr>
          <w:i/>
        </w:rPr>
        <w:t xml:space="preserve">Talent </w:t>
      </w:r>
      <w:r w:rsidRPr="00C15ED6">
        <w:rPr>
          <w:i/>
        </w:rPr>
        <w:t>pool</w:t>
      </w:r>
      <w:r w:rsidRPr="00C15ED6">
        <w:t xml:space="preserve">: </w:t>
      </w:r>
      <w:r w:rsidRPr="00582DD9">
        <w:t>Polaris believe</w:t>
      </w:r>
      <w:r>
        <w:t>d</w:t>
      </w:r>
      <w:r w:rsidRPr="00582DD9">
        <w:t xml:space="preserve"> the U</w:t>
      </w:r>
      <w:r w:rsidR="0064121C">
        <w:t xml:space="preserve">nited </w:t>
      </w:r>
      <w:r w:rsidRPr="00582DD9">
        <w:t>S</w:t>
      </w:r>
      <w:r w:rsidR="0064121C">
        <w:t>tates</w:t>
      </w:r>
      <w:r w:rsidRPr="00582DD9">
        <w:t xml:space="preserve"> </w:t>
      </w:r>
      <w:r>
        <w:t xml:space="preserve">would have a limited pool of </w:t>
      </w:r>
      <w:r w:rsidRPr="00582DD9">
        <w:t xml:space="preserve">skilled trade labor </w:t>
      </w:r>
      <w:r>
        <w:t>in the future</w:t>
      </w:r>
      <w:r w:rsidRPr="00582DD9">
        <w:t>.</w:t>
      </w:r>
      <w:r w:rsidRPr="00582DD9">
        <w:rPr>
          <w:b/>
        </w:rPr>
        <w:t xml:space="preserve"> </w:t>
      </w:r>
      <w:r>
        <w:t>By</w:t>
      </w:r>
      <w:r w:rsidRPr="00582DD9">
        <w:t xml:space="preserve"> contrast, Polaris reported that Mexico and China ha</w:t>
      </w:r>
      <w:r>
        <w:t>d</w:t>
      </w:r>
      <w:r w:rsidRPr="00582DD9">
        <w:t xml:space="preserve"> plenty of skilled tr</w:t>
      </w:r>
      <w:r w:rsidRPr="00381B57">
        <w:t>ade labor</w:t>
      </w:r>
      <w:r w:rsidR="00BE2C6B">
        <w:t>.</w:t>
      </w:r>
    </w:p>
    <w:p w14:paraId="260646D2" w14:textId="77777777" w:rsidR="00FA4D0D" w:rsidRDefault="00FA4D0D" w:rsidP="00381B57">
      <w:pPr>
        <w:pStyle w:val="Heading2"/>
      </w:pPr>
      <w:r>
        <w:t>Supplementary Materials</w:t>
      </w:r>
    </w:p>
    <w:p w14:paraId="59D7ABE5" w14:textId="77777777" w:rsidR="00C15ED6" w:rsidRDefault="00FA4D0D" w:rsidP="00381B57">
      <w:r w:rsidRPr="00C6587B">
        <w:t xml:space="preserve">An </w:t>
      </w:r>
      <w:r w:rsidR="007A2D05">
        <w:t>E</w:t>
      </w:r>
      <w:r w:rsidRPr="00C6587B">
        <w:t xml:space="preserve">xcel spreadsheet model is available for </w:t>
      </w:r>
      <w:r w:rsidR="0095762B">
        <w:t xml:space="preserve">the instructor’s </w:t>
      </w:r>
      <w:r w:rsidRPr="00C6587B">
        <w:t>use with the case.</w:t>
      </w:r>
    </w:p>
    <w:p w14:paraId="41EA6694" w14:textId="77777777" w:rsidR="00FA4D0D" w:rsidRPr="00582DD9" w:rsidRDefault="00FA4D0D" w:rsidP="00381B57">
      <w:pPr>
        <w:pStyle w:val="Heading2"/>
      </w:pPr>
      <w:r w:rsidRPr="00582DD9">
        <w:t>Epilogue</w:t>
      </w:r>
    </w:p>
    <w:p w14:paraId="586E154E" w14:textId="77777777" w:rsidR="00FA4D0D" w:rsidRPr="00582DD9" w:rsidRDefault="00FA4D0D" w:rsidP="00381B57">
      <w:r w:rsidRPr="00582DD9">
        <w:t xml:space="preserve">Given the significant total cost savings, Polaris decided to build its next manufacturing facility in Monterrey, Mexico. The plant opened in 2011 ahead of schedule. </w:t>
      </w:r>
      <w:r w:rsidR="0095762B">
        <w:t>Although</w:t>
      </w:r>
      <w:r w:rsidRPr="00582DD9">
        <w:t xml:space="preserve"> there were still consumer concerns regarding sustained quality in manufacturing after the first year of operation, Monterrey was performing well by Polaris’</w:t>
      </w:r>
      <w:r w:rsidR="00BE2C6B">
        <w:t>s</w:t>
      </w:r>
      <w:r w:rsidRPr="00582DD9">
        <w:t xml:space="preserve"> quality metrics</w:t>
      </w:r>
      <w:r w:rsidR="0095762B">
        <w:t>,</w:t>
      </w:r>
      <w:r w:rsidRPr="00582DD9">
        <w:t xml:space="preserve"> possibly due to the significant </w:t>
      </w:r>
      <w:r w:rsidR="0095762B">
        <w:t xml:space="preserve">amount of </w:t>
      </w:r>
      <w:r w:rsidRPr="00582DD9">
        <w:t>management attention on the new facility. One factor management did not consider at the time the decision was made was the security situation in Mexico. Drug trafficking activity resulted in violence and the situation continued to deteriorate as of 2012. This has led to high security costs and reduced Polaris management’s travel to Monterrey.</w:t>
      </w:r>
    </w:p>
    <w:p w14:paraId="12342D80" w14:textId="77777777" w:rsidR="00FA4D0D" w:rsidRPr="00582DD9" w:rsidRDefault="00FA4D0D" w:rsidP="00381B57">
      <w:r w:rsidRPr="00582DD9">
        <w:t>Furthermore, as part of an overall restructuring of its supply chain to drive more cost savings, Polaris originally planned to close the Osceola plant. It was the only facility in its network that did</w:t>
      </w:r>
      <w:r w:rsidR="0095762B">
        <w:t xml:space="preserve"> no</w:t>
      </w:r>
      <w:r w:rsidRPr="00582DD9">
        <w:t>t construct vehicles</w:t>
      </w:r>
      <w:r w:rsidR="0095762B">
        <w:t>; it supplied</w:t>
      </w:r>
      <w:r w:rsidRPr="00582DD9">
        <w:t xml:space="preserve"> engines and other components for the other plants. The plan was to move Osceola’s existing factory operations into the respective counterpart plants, </w:t>
      </w:r>
      <w:r w:rsidR="00B15CC3">
        <w:t>that is</w:t>
      </w:r>
      <w:r w:rsidRPr="00582DD9">
        <w:t xml:space="preserve">, snowmobile engine manufacturing </w:t>
      </w:r>
      <w:r w:rsidR="0095762B">
        <w:t>into the snowmobile plant in Ro</w:t>
      </w:r>
      <w:r w:rsidRPr="00582DD9">
        <w:t xml:space="preserve">seau, </w:t>
      </w:r>
      <w:r w:rsidR="0095762B">
        <w:t>and so on</w:t>
      </w:r>
      <w:r w:rsidRPr="00582DD9">
        <w:t xml:space="preserve">. However, with the strong demand across </w:t>
      </w:r>
      <w:r w:rsidRPr="004A130F">
        <w:t>all divisions over the past two years, Polaris’</w:t>
      </w:r>
      <w:r w:rsidR="00B15CC3">
        <w:t>s</w:t>
      </w:r>
      <w:r w:rsidRPr="004A130F">
        <w:t xml:space="preserve"> domestic plants were running near capacity. Instead of closing down Osceola, Polaris</w:t>
      </w:r>
      <w:r w:rsidRPr="00582DD9">
        <w:t xml:space="preserve"> decided to reduce its footprint and keep it open for the interim to help provide additional capacity.</w:t>
      </w:r>
    </w:p>
    <w:p w14:paraId="76C24B02" w14:textId="77777777" w:rsidR="00606E59" w:rsidRDefault="00606E59"/>
    <w:sectPr w:rsidR="00606E59">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1800" w:right="1800" w:bottom="180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A381C" w14:textId="77777777" w:rsidR="00243691" w:rsidRDefault="00243691">
      <w:r>
        <w:separator/>
      </w:r>
    </w:p>
  </w:endnote>
  <w:endnote w:type="continuationSeparator" w:id="0">
    <w:p w14:paraId="6621AE7D" w14:textId="77777777" w:rsidR="00243691" w:rsidRDefault="0024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AEEBF" w14:textId="795F7058" w:rsidR="0064121C" w:rsidRDefault="0064121C">
    <w:pPr>
      <w:pStyle w:val="PageNumberCASESTUDY"/>
    </w:pPr>
    <w:r>
      <w:fldChar w:fldCharType="begin"/>
    </w:r>
    <w:r>
      <w:instrText xml:space="preserve"> PAGE </w:instrText>
    </w:r>
    <w:r>
      <w:fldChar w:fldCharType="separate"/>
    </w:r>
    <w:r w:rsidR="00341D34">
      <w:rPr>
        <w:noProof/>
      </w:rPr>
      <w:t>4</w:t>
    </w:r>
    <w:r>
      <w:fldChar w:fldCharType="end"/>
    </w:r>
    <w:r>
      <w:tab/>
    </w:r>
    <w:smartTag w:uri="urn:schemas-microsoft-com:office:smarttags" w:element="place">
      <w:smartTag w:uri="urn:schemas-microsoft-com:office:smarttags" w:element="PlaceName">
        <w:r>
          <w:t>Kellogg</w:t>
        </w:r>
      </w:smartTag>
      <w:r>
        <w:t xml:space="preserve"> </w:t>
      </w:r>
      <w:smartTag w:uri="urn:schemas-microsoft-com:office:smarttags" w:element="PlaceType">
        <w:r>
          <w:t>School</w:t>
        </w:r>
      </w:smartTag>
    </w:smartTag>
    <w:r>
      <w:t xml:space="preserve"> of Management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553AC" w14:textId="635B2120" w:rsidR="0064121C" w:rsidRDefault="0064121C">
    <w:pPr>
      <w:pStyle w:val="PageNumberCASESTUDY"/>
    </w:pPr>
    <w:smartTag w:uri="urn:schemas-microsoft-com:office:smarttags" w:element="place">
      <w:smartTag w:uri="urn:schemas-microsoft-com:office:smarttags" w:element="PlaceName">
        <w:r>
          <w:t>Kellogg</w:t>
        </w:r>
      </w:smartTag>
      <w:r>
        <w:t xml:space="preserve"> </w:t>
      </w:r>
      <w:smartTag w:uri="urn:schemas-microsoft-com:office:smarttags" w:element="PlaceType">
        <w:r>
          <w:t>School</w:t>
        </w:r>
      </w:smartTag>
    </w:smartTag>
    <w:r>
      <w:t xml:space="preserve"> of Management</w:t>
    </w:r>
    <w:r>
      <w:tab/>
    </w:r>
    <w:r>
      <w:fldChar w:fldCharType="begin"/>
    </w:r>
    <w:r>
      <w:instrText xml:space="preserve"> PAGE </w:instrText>
    </w:r>
    <w:r>
      <w:fldChar w:fldCharType="separate"/>
    </w:r>
    <w:r w:rsidR="00341D34">
      <w:rPr>
        <w:noProof/>
      </w:rPr>
      <w:t>5</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ED3F6" w14:textId="77777777" w:rsidR="0064121C" w:rsidRPr="004C6E5A" w:rsidRDefault="0064121C" w:rsidP="004C6E5A">
    <w:pPr>
      <w:pStyle w:val="Footer"/>
      <w:pBdr>
        <w:top w:val="single" w:sz="4" w:space="1" w:color="auto"/>
      </w:pBdr>
    </w:pPr>
    <w:r w:rsidRPr="00C664E3">
      <w:t>©20</w:t>
    </w:r>
    <w:r>
      <w:t>13</w:t>
    </w:r>
    <w:r w:rsidRPr="00C664E3">
      <w:t xml:space="preserve"> by the Kellogg School of Management</w:t>
    </w:r>
    <w:r>
      <w:t xml:space="preserve"> at</w:t>
    </w:r>
    <w:r w:rsidRPr="00C664E3">
      <w:t xml:space="preserve"> Northwestern University. This </w:t>
    </w:r>
    <w:r>
      <w:t>teaching note</w:t>
    </w:r>
    <w:r w:rsidRPr="00C664E3">
      <w:t xml:space="preserve"> was prepared by Professor </w:t>
    </w:r>
    <w:r>
      <w:t>Sunil Chop</w:t>
    </w:r>
    <w:r w:rsidR="00736FA5">
      <w:t>r</w:t>
    </w:r>
    <w:r>
      <w:t xml:space="preserve">a. Teaching notes </w:t>
    </w:r>
    <w:r w:rsidRPr="00C664E3">
      <w:t xml:space="preserve">are developed solely </w:t>
    </w:r>
    <w:r>
      <w:t>to help academic faculty teach specific cases.</w:t>
    </w:r>
    <w:r w:rsidRPr="00C664E3">
      <w:t xml:space="preserve"> Cases </w:t>
    </w:r>
    <w:r>
      <w:t xml:space="preserve">and teaching notes </w:t>
    </w:r>
    <w:r w:rsidRPr="00C664E3">
      <w:t>are not intended to serve as endorsements, sources of primary data, or illustrations of effect</w:t>
    </w:r>
    <w:r>
      <w:t xml:space="preserve">ive or ineffective management. </w:t>
    </w:r>
    <w:r w:rsidRPr="00C664E3">
      <w:t>To order copies or request permission to reproduce materials, call 847</w:t>
    </w:r>
    <w:r>
      <w:t>.</w:t>
    </w:r>
    <w:r w:rsidRPr="00C664E3">
      <w:t>491</w:t>
    </w:r>
    <w:r>
      <w:t>.</w:t>
    </w:r>
    <w:r w:rsidRPr="00C664E3">
      <w:t xml:space="preserve">5400 or e-mail </w:t>
    </w:r>
    <w:r w:rsidRPr="00D13D12">
      <w:t>cases@kellogg.northwestern.edu</w:t>
    </w:r>
    <w:r>
      <w:t xml:space="preserve">. </w:t>
    </w:r>
    <w:r w:rsidRPr="00C664E3">
      <w:t>No part of this publication may be reproduced, stored in a retrieval system, used in a spreadsheet, or transmit</w:t>
    </w:r>
    <w:r>
      <w:t>ted in any form or by any means</w:t>
    </w:r>
    <w:r w:rsidRPr="00C664E3">
      <w:t>—electronic, mechanical, photoc</w:t>
    </w:r>
    <w:r>
      <w:t>opying, recording, or otherwise</w:t>
    </w:r>
    <w:r w:rsidRPr="00C664E3">
      <w:t xml:space="preserve">—without the permission of Kellogg </w:t>
    </w:r>
    <w:r>
      <w:t>Case Publishing</w:t>
    </w:r>
    <w:r w:rsidRPr="00C664E3">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F824C" w14:textId="77777777" w:rsidR="00243691" w:rsidRDefault="00243691">
      <w:r>
        <w:separator/>
      </w:r>
    </w:p>
  </w:footnote>
  <w:footnote w:type="continuationSeparator" w:id="0">
    <w:p w14:paraId="4AE3105B" w14:textId="77777777" w:rsidR="00243691" w:rsidRDefault="002436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1965F" w14:textId="77777777" w:rsidR="0064121C" w:rsidRDefault="0064121C">
    <w:pPr>
      <w:pStyle w:val="Header"/>
    </w:pPr>
    <w:r>
      <w:t>Teaching Note: Polaris</w:t>
    </w:r>
    <w:r w:rsidR="00736FA5">
      <w:t xml:space="preserve"> Industries</w:t>
    </w:r>
    <w:r>
      <w:tab/>
      <w:t>5-112-003TN</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BE50C" w14:textId="77777777" w:rsidR="0064121C" w:rsidRDefault="0064121C">
    <w:pPr>
      <w:pStyle w:val="Header"/>
    </w:pPr>
    <w:r>
      <w:t>5-112-003TN</w:t>
    </w:r>
    <w:r>
      <w:tab/>
      <w:t>Teaching Note: Polaris</w:t>
    </w:r>
    <w:r w:rsidR="00736FA5">
      <w:t xml:space="preserve"> Industries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8FAB9" w14:textId="77777777" w:rsidR="0064121C" w:rsidRDefault="0064121C" w:rsidP="00792FB8">
    <w:pPr>
      <w:spacing w:before="120" w:after="120"/>
      <w:jc w:val="right"/>
    </w:pPr>
  </w:p>
  <w:p w14:paraId="6AB73CBB" w14:textId="77777777" w:rsidR="0064121C" w:rsidRDefault="0064121C">
    <w:pPr>
      <w:pStyle w:val="Casenumber"/>
    </w:pPr>
    <w:r>
      <w:drawing>
        <wp:inline distT="0" distB="0" distL="0" distR="0" wp14:anchorId="75968AC6" wp14:editId="2B56BF73">
          <wp:extent cx="2369820" cy="80645"/>
          <wp:effectExtent l="0" t="0" r="0" b="0"/>
          <wp:docPr id="1" name="Picture 18" descr="Description: Description: Description: Description: Description: Description: Description: Description: Description: Description: Description: C:\Users\kht235.KELLOGG\Documents\Katharine\Template Redesign Project\NUident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escription: Description: Description: Description: Description: Description: Description: Description: Description: Description: Description: C:\Users\kht235.KELLOGG\Documents\Katharine\Template Redesign Project\NUidentity.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9820" cy="80645"/>
                  </a:xfrm>
                  <a:prstGeom prst="rect">
                    <a:avLst/>
                  </a:prstGeom>
                  <a:noFill/>
                  <a:ln>
                    <a:noFill/>
                  </a:ln>
                </pic:spPr>
              </pic:pic>
            </a:graphicData>
          </a:graphic>
        </wp:inline>
      </w:drawing>
    </w:r>
  </w:p>
  <w:p w14:paraId="12A1D49D" w14:textId="77777777" w:rsidR="0064121C" w:rsidRDefault="0064121C" w:rsidP="00173F17">
    <w:pPr>
      <w:pStyle w:val="Casenumber"/>
      <w:jc w:val="both"/>
    </w:pPr>
    <w:r>
      <w:drawing>
        <wp:anchor distT="0" distB="0" distL="114300" distR="114300" simplePos="0" relativeHeight="251657728" behindDoc="0" locked="1" layoutInCell="1" allowOverlap="1" wp14:anchorId="39FB5972" wp14:editId="7AA34CDE">
          <wp:simplePos x="0" y="0"/>
          <wp:positionH relativeFrom="column">
            <wp:posOffset>-594995</wp:posOffset>
          </wp:positionH>
          <wp:positionV relativeFrom="page">
            <wp:posOffset>457200</wp:posOffset>
          </wp:positionV>
          <wp:extent cx="2386330" cy="669925"/>
          <wp:effectExtent l="0" t="0" r="0" b="0"/>
          <wp:wrapNone/>
          <wp:docPr id="2" name="Picture 1" descr="Description: Description: Description: Description: Description: Description: Description: Description: Description: Description: Kellogg_logo_01_300dpi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Description: Description: Description: Description: Description: Description: Kellogg_logo_01_300dpi_bw"/>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86330" cy="669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33A0A"/>
    <w:multiLevelType w:val="hybridMultilevel"/>
    <w:tmpl w:val="42A8A178"/>
    <w:lvl w:ilvl="0" w:tplc="4BA45EA4">
      <w:start w:val="1"/>
      <w:numFmt w:val="decimal"/>
      <w:pStyle w:val="Numbering"/>
      <w:lvlText w:val="%1."/>
      <w:lvlJc w:val="left"/>
      <w:pPr>
        <w:tabs>
          <w:tab w:val="num" w:pos="2160"/>
        </w:tabs>
        <w:ind w:left="2160" w:hanging="360"/>
      </w:pPr>
    </w:lvl>
    <w:lvl w:ilvl="1" w:tplc="1496312E">
      <w:start w:val="1"/>
      <w:numFmt w:val="lowerLetter"/>
      <w:pStyle w:val="Numbering2"/>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 w15:restartNumberingAfterBreak="0">
    <w:nsid w:val="5D1539A3"/>
    <w:multiLevelType w:val="hybridMultilevel"/>
    <w:tmpl w:val="AB9E5FA4"/>
    <w:lvl w:ilvl="0" w:tplc="5212ECB0">
      <w:start w:val="1"/>
      <w:numFmt w:val="bullet"/>
      <w:pStyle w:val="BulletPoints"/>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trackRevisions/>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D0D"/>
    <w:rsid w:val="0001155D"/>
    <w:rsid w:val="0007581F"/>
    <w:rsid w:val="00097339"/>
    <w:rsid w:val="000A2DD3"/>
    <w:rsid w:val="000A5122"/>
    <w:rsid w:val="00101671"/>
    <w:rsid w:val="00104EE4"/>
    <w:rsid w:val="00173F17"/>
    <w:rsid w:val="001A3D9E"/>
    <w:rsid w:val="001C6D8D"/>
    <w:rsid w:val="00213E73"/>
    <w:rsid w:val="00243691"/>
    <w:rsid w:val="00257A6D"/>
    <w:rsid w:val="002915CD"/>
    <w:rsid w:val="002A1BBE"/>
    <w:rsid w:val="002C791A"/>
    <w:rsid w:val="002D6F7F"/>
    <w:rsid w:val="002F7B0E"/>
    <w:rsid w:val="00335239"/>
    <w:rsid w:val="00341D34"/>
    <w:rsid w:val="0036289D"/>
    <w:rsid w:val="00381B57"/>
    <w:rsid w:val="003C7A8F"/>
    <w:rsid w:val="003E3D25"/>
    <w:rsid w:val="0040145B"/>
    <w:rsid w:val="00415689"/>
    <w:rsid w:val="004A130F"/>
    <w:rsid w:val="004A626E"/>
    <w:rsid w:val="004C6E5A"/>
    <w:rsid w:val="004E3EE1"/>
    <w:rsid w:val="004F3FAE"/>
    <w:rsid w:val="00512493"/>
    <w:rsid w:val="00534A18"/>
    <w:rsid w:val="00535C77"/>
    <w:rsid w:val="00572EE4"/>
    <w:rsid w:val="00576657"/>
    <w:rsid w:val="00580486"/>
    <w:rsid w:val="005A24C9"/>
    <w:rsid w:val="005D198A"/>
    <w:rsid w:val="005F2CA5"/>
    <w:rsid w:val="005F4C21"/>
    <w:rsid w:val="00606E59"/>
    <w:rsid w:val="0064121C"/>
    <w:rsid w:val="00652769"/>
    <w:rsid w:val="006D26D5"/>
    <w:rsid w:val="00706FEF"/>
    <w:rsid w:val="00723C51"/>
    <w:rsid w:val="00736FA5"/>
    <w:rsid w:val="0074650C"/>
    <w:rsid w:val="00761EDC"/>
    <w:rsid w:val="00792FB8"/>
    <w:rsid w:val="007A2D05"/>
    <w:rsid w:val="007F06CE"/>
    <w:rsid w:val="00805721"/>
    <w:rsid w:val="00816F70"/>
    <w:rsid w:val="00847386"/>
    <w:rsid w:val="008D5BAD"/>
    <w:rsid w:val="008E57EB"/>
    <w:rsid w:val="0094799A"/>
    <w:rsid w:val="0095762B"/>
    <w:rsid w:val="00994DF8"/>
    <w:rsid w:val="009A7C20"/>
    <w:rsid w:val="009E4E15"/>
    <w:rsid w:val="00A51F5C"/>
    <w:rsid w:val="00A93DD1"/>
    <w:rsid w:val="00A97D63"/>
    <w:rsid w:val="00AB274D"/>
    <w:rsid w:val="00AE11D7"/>
    <w:rsid w:val="00AF3B81"/>
    <w:rsid w:val="00B1198E"/>
    <w:rsid w:val="00B13C65"/>
    <w:rsid w:val="00B14B95"/>
    <w:rsid w:val="00B15CC3"/>
    <w:rsid w:val="00B7640E"/>
    <w:rsid w:val="00B862AE"/>
    <w:rsid w:val="00B94190"/>
    <w:rsid w:val="00B94750"/>
    <w:rsid w:val="00BB3E95"/>
    <w:rsid w:val="00BB5B62"/>
    <w:rsid w:val="00BC4EC2"/>
    <w:rsid w:val="00BE2C6B"/>
    <w:rsid w:val="00BE717E"/>
    <w:rsid w:val="00C02A89"/>
    <w:rsid w:val="00C1059B"/>
    <w:rsid w:val="00C13852"/>
    <w:rsid w:val="00C15ED6"/>
    <w:rsid w:val="00CE256E"/>
    <w:rsid w:val="00D25C14"/>
    <w:rsid w:val="00D33561"/>
    <w:rsid w:val="00D428AB"/>
    <w:rsid w:val="00D5741D"/>
    <w:rsid w:val="00D5791F"/>
    <w:rsid w:val="00D60A83"/>
    <w:rsid w:val="00DA3B41"/>
    <w:rsid w:val="00DF75B5"/>
    <w:rsid w:val="00E412F0"/>
    <w:rsid w:val="00E810D5"/>
    <w:rsid w:val="00E945F9"/>
    <w:rsid w:val="00E95EF4"/>
    <w:rsid w:val="00EA689F"/>
    <w:rsid w:val="00ED18B6"/>
    <w:rsid w:val="00ED6A7C"/>
    <w:rsid w:val="00EE1194"/>
    <w:rsid w:val="00F03875"/>
    <w:rsid w:val="00F169B5"/>
    <w:rsid w:val="00F26379"/>
    <w:rsid w:val="00FA4D0D"/>
    <w:rsid w:val="00FB0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B0C3FA0"/>
  <w15:docId w15:val="{25A11108-6EE4-4576-B28A-43F7357DA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Text"/>
    <w:qFormat/>
    <w:rsid w:val="00994DF8"/>
    <w:pPr>
      <w:spacing w:after="240" w:line="240" w:lineRule="exact"/>
      <w:ind w:firstLine="360"/>
      <w:jc w:val="both"/>
    </w:pPr>
    <w:rPr>
      <w:rFonts w:ascii="Times New Roman" w:hAnsi="Times New Roman"/>
      <w:sz w:val="22"/>
    </w:rPr>
  </w:style>
  <w:style w:type="paragraph" w:styleId="Heading1">
    <w:name w:val="heading 1"/>
    <w:basedOn w:val="Normal"/>
    <w:next w:val="Normal"/>
    <w:link w:val="Heading1Char"/>
    <w:qFormat/>
    <w:rsid w:val="00EA689F"/>
    <w:pPr>
      <w:keepNext/>
      <w:keepLines/>
      <w:suppressAutoHyphens/>
      <w:spacing w:before="600" w:line="240" w:lineRule="auto"/>
      <w:ind w:firstLine="0"/>
      <w:jc w:val="left"/>
      <w:outlineLvl w:val="0"/>
    </w:pPr>
    <w:rPr>
      <w:rFonts w:ascii="Arial" w:hAnsi="Arial"/>
      <w:b/>
      <w:sz w:val="28"/>
    </w:rPr>
  </w:style>
  <w:style w:type="paragraph" w:styleId="Heading2">
    <w:name w:val="heading 2"/>
    <w:basedOn w:val="Normal"/>
    <w:next w:val="Normal"/>
    <w:qFormat/>
    <w:rsid w:val="00EA689F"/>
    <w:pPr>
      <w:keepNext/>
      <w:spacing w:before="480" w:line="240" w:lineRule="auto"/>
      <w:ind w:firstLine="0"/>
      <w:outlineLvl w:val="1"/>
    </w:pPr>
    <w:rPr>
      <w:rFonts w:ascii="Arial" w:eastAsia="Times New Roman" w:hAnsi="Arial"/>
      <w:b/>
      <w:i/>
      <w:sz w:val="24"/>
      <w:szCs w:val="28"/>
    </w:rPr>
  </w:style>
  <w:style w:type="paragraph" w:styleId="Heading3">
    <w:name w:val="heading 3"/>
    <w:basedOn w:val="Normal"/>
    <w:next w:val="Normal"/>
    <w:qFormat/>
    <w:rsid w:val="00EA689F"/>
    <w:pPr>
      <w:keepNext/>
      <w:spacing w:before="360" w:after="120" w:line="240" w:lineRule="auto"/>
      <w:ind w:firstLine="0"/>
      <w:outlineLvl w:val="2"/>
    </w:pPr>
    <w:rPr>
      <w:rFonts w:ascii="Arial" w:eastAsia="Times New Roman" w:hAnsi="Arial"/>
      <w:caps/>
      <w:spacing w:val="20"/>
      <w:sz w:val="17"/>
      <w:szCs w:val="17"/>
    </w:rPr>
  </w:style>
  <w:style w:type="paragraph" w:styleId="Heading4">
    <w:name w:val="heading 4"/>
    <w:basedOn w:val="Normal"/>
    <w:next w:val="Normal"/>
    <w:qFormat/>
    <w:rsid w:val="00723C51"/>
    <w:pPr>
      <w:keepNext/>
      <w:spacing w:after="120" w:line="240" w:lineRule="auto"/>
      <w:ind w:firstLine="0"/>
      <w:outlineLvl w:val="3"/>
    </w:pPr>
    <w:rPr>
      <w:rFonts w:eastAsia="Times New Roman"/>
      <w:i/>
      <w:szCs w:val="22"/>
    </w:rPr>
  </w:style>
  <w:style w:type="paragraph" w:styleId="Heading5">
    <w:name w:val="heading 5"/>
    <w:basedOn w:val="Heading4"/>
    <w:next w:val="Normal"/>
    <w:qFormat/>
    <w:rsid w:val="00580486"/>
    <w:pPr>
      <w:outlineLvl w:val="4"/>
    </w:pPr>
  </w:style>
  <w:style w:type="paragraph" w:styleId="Heading6">
    <w:name w:val="heading 6"/>
    <w:basedOn w:val="Heading5"/>
    <w:next w:val="Normal"/>
    <w:qFormat/>
    <w:rsid w:val="00580486"/>
    <w:pP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FootnoteText"/>
    <w:semiHidden/>
    <w:pPr>
      <w:pBdr>
        <w:top w:val="single" w:sz="8" w:space="1" w:color="auto"/>
      </w:pBdr>
      <w:spacing w:before="240"/>
    </w:pPr>
  </w:style>
  <w:style w:type="paragraph" w:styleId="FootnoteText">
    <w:name w:val="footnote text"/>
    <w:qFormat/>
    <w:rsid w:val="00E945F9"/>
    <w:pPr>
      <w:keepLines/>
      <w:spacing w:after="40"/>
      <w:jc w:val="both"/>
    </w:pPr>
    <w:rPr>
      <w:rFonts w:ascii="Times New Roman" w:hAnsi="Times New Roman"/>
      <w:noProof/>
      <w:sz w:val="16"/>
    </w:rPr>
  </w:style>
  <w:style w:type="paragraph" w:customStyle="1" w:styleId="SourceNote">
    <w:name w:val="Source &amp; Note"/>
    <w:basedOn w:val="TableBodyText"/>
    <w:qFormat/>
    <w:pPr>
      <w:spacing w:before="120"/>
    </w:pPr>
    <w:rPr>
      <w:rFonts w:eastAsia="Times New Roman"/>
      <w:sz w:val="14"/>
    </w:rPr>
  </w:style>
  <w:style w:type="paragraph" w:customStyle="1" w:styleId="TableBodyText">
    <w:name w:val="Table Body Text"/>
    <w:link w:val="TableBodyTextChar"/>
    <w:qFormat/>
    <w:rsid w:val="00ED18B6"/>
    <w:rPr>
      <w:rFonts w:ascii="Arial" w:hAnsi="Arial"/>
      <w:sz w:val="16"/>
      <w:szCs w:val="16"/>
    </w:rPr>
  </w:style>
  <w:style w:type="character" w:styleId="FootnoteReference">
    <w:name w:val="footnote reference"/>
    <w:qFormat/>
    <w:rPr>
      <w:vertAlign w:val="superscript"/>
    </w:rPr>
  </w:style>
  <w:style w:type="character" w:styleId="CommentReference">
    <w:name w:val="annotation reference"/>
    <w:semiHidden/>
    <w:rPr>
      <w:sz w:val="16"/>
    </w:rPr>
  </w:style>
  <w:style w:type="paragraph" w:styleId="CommentText">
    <w:name w:val="annotation text"/>
    <w:basedOn w:val="Normal"/>
    <w:link w:val="CommentTextChar"/>
    <w:semiHidden/>
    <w:rPr>
      <w:rFonts w:eastAsia="Times New Roman"/>
      <w:sz w:val="20"/>
    </w:rPr>
  </w:style>
  <w:style w:type="paragraph" w:customStyle="1" w:styleId="InsetQuoteAttribution">
    <w:name w:val="Inset Quote Attribution"/>
    <w:basedOn w:val="InsetQuote"/>
    <w:link w:val="InsetQuoteAttributionChar"/>
    <w:qFormat/>
    <w:rsid w:val="00C13852"/>
    <w:pPr>
      <w:jc w:val="right"/>
    </w:pPr>
    <w:rPr>
      <w:i w:val="0"/>
    </w:rPr>
  </w:style>
  <w:style w:type="paragraph" w:customStyle="1" w:styleId="PageNumberCASESTUDY">
    <w:name w:val="Page Number CASE STUDY"/>
    <w:basedOn w:val="Header"/>
    <w:semiHidden/>
    <w:pPr>
      <w:pBdr>
        <w:top w:val="single" w:sz="4" w:space="6" w:color="auto"/>
      </w:pBdr>
      <w:spacing w:before="240"/>
      <w:jc w:val="left"/>
    </w:pPr>
    <w:rPr>
      <w:b w:val="0"/>
      <w:sz w:val="18"/>
    </w:rPr>
  </w:style>
  <w:style w:type="paragraph" w:styleId="Header">
    <w:name w:val="header"/>
    <w:aliases w:val="Case Header"/>
    <w:basedOn w:val="Normal"/>
    <w:semiHidden/>
    <w:pPr>
      <w:tabs>
        <w:tab w:val="right" w:pos="8640"/>
      </w:tabs>
      <w:spacing w:after="0"/>
      <w:ind w:firstLine="0"/>
    </w:pPr>
    <w:rPr>
      <w:b/>
      <w:smallCaps/>
      <w:sz w:val="20"/>
    </w:rPr>
  </w:style>
  <w:style w:type="paragraph" w:customStyle="1" w:styleId="Caserevdate">
    <w:name w:val="Case rev. date"/>
    <w:aliases w:val="head"/>
    <w:semiHidden/>
    <w:pPr>
      <w:widowControl w:val="0"/>
      <w:jc w:val="right"/>
    </w:pPr>
    <w:rPr>
      <w:noProof/>
      <w:sz w:val="16"/>
    </w:rPr>
  </w:style>
  <w:style w:type="paragraph" w:customStyle="1" w:styleId="Casenumber">
    <w:name w:val="Case number"/>
    <w:aliases w:val="header"/>
    <w:next w:val="Caserevdate"/>
    <w:semiHidden/>
    <w:pPr>
      <w:jc w:val="right"/>
    </w:pPr>
    <w:rPr>
      <w:b/>
      <w:noProof/>
    </w:rPr>
  </w:style>
  <w:style w:type="paragraph" w:customStyle="1" w:styleId="InsetQuote">
    <w:name w:val="Inset Quote"/>
    <w:basedOn w:val="Normal"/>
    <w:link w:val="InsetQuoteChar"/>
    <w:qFormat/>
    <w:pPr>
      <w:ind w:left="720" w:right="720" w:firstLine="0"/>
      <w:jc w:val="left"/>
    </w:pPr>
    <w:rPr>
      <w:i/>
      <w:sz w:val="20"/>
    </w:rPr>
  </w:style>
  <w:style w:type="character" w:customStyle="1" w:styleId="InsetQuoteChar">
    <w:name w:val="Inset Quote Char"/>
    <w:link w:val="InsetQuote"/>
    <w:rPr>
      <w:rFonts w:ascii="Times" w:eastAsia="Times" w:hAnsi="Times"/>
      <w:i/>
      <w:lang w:val="en-US" w:eastAsia="en-US" w:bidi="ar-SA"/>
    </w:rPr>
  </w:style>
  <w:style w:type="paragraph" w:customStyle="1" w:styleId="CaseTitle">
    <w:name w:val="Case Title"/>
    <w:basedOn w:val="Heading1"/>
    <w:link w:val="CaseTitleChar"/>
    <w:qFormat/>
    <w:rsid w:val="00652769"/>
    <w:pPr>
      <w:pBdr>
        <w:top w:val="single" w:sz="4" w:space="1" w:color="auto"/>
      </w:pBdr>
      <w:spacing w:before="0" w:after="480"/>
    </w:pPr>
    <w:rPr>
      <w:sz w:val="40"/>
      <w:szCs w:val="40"/>
    </w:rPr>
  </w:style>
  <w:style w:type="paragraph" w:styleId="Bibliography">
    <w:name w:val="Bibliography"/>
    <w:basedOn w:val="Heading1"/>
    <w:qFormat/>
    <w:rsid w:val="00F26379"/>
    <w:pPr>
      <w:spacing w:before="0"/>
    </w:pPr>
  </w:style>
  <w:style w:type="paragraph" w:customStyle="1" w:styleId="StudyQuestions">
    <w:name w:val="Study Questions"/>
    <w:basedOn w:val="Heading1"/>
    <w:qFormat/>
    <w:pPr>
      <w:spacing w:before="0"/>
    </w:pPr>
  </w:style>
  <w:style w:type="paragraph" w:styleId="EndnoteText">
    <w:name w:val="endnote text"/>
    <w:basedOn w:val="FootnoteText"/>
    <w:semiHidden/>
  </w:style>
  <w:style w:type="character" w:styleId="EndnoteReference">
    <w:name w:val="endnote reference"/>
    <w:semiHidden/>
    <w:rPr>
      <w:vertAlign w:val="superscript"/>
    </w:rPr>
  </w:style>
  <w:style w:type="paragraph" w:customStyle="1" w:styleId="NorthwesternSealparagraph">
    <w:name w:val="Northwestern Seal paragraph"/>
    <w:basedOn w:val="Normal"/>
    <w:semiHidden/>
    <w:pPr>
      <w:tabs>
        <w:tab w:val="right" w:pos="8640"/>
      </w:tabs>
      <w:spacing w:before="1400" w:after="200"/>
      <w:ind w:left="-144" w:firstLine="0"/>
      <w:jc w:val="center"/>
    </w:pPr>
  </w:style>
  <w:style w:type="paragraph" w:customStyle="1" w:styleId="ExhibitTitle">
    <w:name w:val="Exhibit Title"/>
    <w:basedOn w:val="Heading2"/>
    <w:link w:val="ExhibitTitleChar"/>
    <w:qFormat/>
    <w:rsid w:val="00B7640E"/>
    <w:pPr>
      <w:keepLines/>
      <w:suppressAutoHyphens/>
      <w:spacing w:before="0" w:after="40"/>
      <w:jc w:val="left"/>
    </w:pPr>
    <w:rPr>
      <w:i w:val="0"/>
      <w:szCs w:val="32"/>
    </w:rPr>
  </w:style>
  <w:style w:type="character" w:customStyle="1" w:styleId="ExhibitTitleChar">
    <w:name w:val="Exhibit Title Char"/>
    <w:link w:val="ExhibitTitle"/>
    <w:rsid w:val="00B7640E"/>
    <w:rPr>
      <w:rFonts w:ascii="Gill Sans MT" w:eastAsia="Times New Roman" w:hAnsi="Gill Sans MT"/>
      <w:b/>
      <w:sz w:val="24"/>
      <w:szCs w:val="32"/>
    </w:rPr>
  </w:style>
  <w:style w:type="paragraph" w:customStyle="1" w:styleId="TableTitle">
    <w:name w:val="Table Title"/>
    <w:basedOn w:val="Heading2"/>
    <w:qFormat/>
    <w:rsid w:val="004A626E"/>
    <w:pPr>
      <w:keepLines/>
      <w:suppressAutoHyphens/>
      <w:spacing w:after="40"/>
      <w:jc w:val="left"/>
    </w:pPr>
    <w:rPr>
      <w:i w:val="0"/>
      <w:sz w:val="22"/>
    </w:rPr>
  </w:style>
  <w:style w:type="table" w:styleId="TableGrid">
    <w:name w:val="Table Grid"/>
    <w:basedOn w:val="TableNormal"/>
    <w:rPr>
      <w:rFonts w:ascii="Helvetica" w:hAnsi="Helvetica"/>
      <w:color w:val="000000"/>
      <w:sz w:val="16"/>
      <w:szCs w:val="16"/>
    </w:rPr>
    <w:tblPr>
      <w:tblBorders>
        <w:bottom w:val="single" w:sz="4" w:space="0" w:color="auto"/>
      </w:tblBorders>
      <w:tblCellMar>
        <w:top w:w="29" w:type="dxa"/>
        <w:left w:w="115" w:type="dxa"/>
        <w:bottom w:w="29" w:type="dxa"/>
        <w:right w:w="115" w:type="dxa"/>
      </w:tblCellMar>
    </w:tblPr>
    <w:trPr>
      <w:cantSplit/>
    </w:trPr>
    <w:tcPr>
      <w:tcMar>
        <w:top w:w="29" w:type="dxa"/>
        <w:left w:w="115" w:type="dxa"/>
        <w:bottom w:w="29" w:type="dxa"/>
        <w:right w:w="115" w:type="dxa"/>
      </w:tcMar>
      <w:vAlign w:val="center"/>
    </w:tcPr>
    <w:tblStylePr w:type="firstRow">
      <w:pPr>
        <w:wordWrap/>
        <w:spacing w:beforeLines="0" w:before="0" w:beforeAutospacing="0" w:afterLines="0" w:after="0" w:afterAutospacing="0" w:line="240" w:lineRule="auto"/>
        <w:ind w:leftChars="0" w:left="0" w:rightChars="0" w:right="0" w:firstLineChars="0" w:firstLine="0"/>
        <w:contextualSpacing w:val="0"/>
        <w:jc w:val="left"/>
      </w:pPr>
      <w:rPr>
        <w:rFonts w:ascii="Helvetica" w:hAnsi="Helvetica"/>
        <w:b w:val="0"/>
        <w:i w:val="0"/>
        <w:caps w:val="0"/>
        <w:smallCaps w:val="0"/>
        <w:strike w:val="0"/>
        <w:dstrike w:val="0"/>
        <w:vanish w:val="0"/>
        <w:color w:val="000000"/>
        <w:sz w:val="16"/>
        <w:szCs w:val="16"/>
        <w:u w:val="none"/>
        <w:vertAlign w:val="baseline"/>
      </w:rPr>
      <w:tblPr/>
      <w:trPr>
        <w:cantSplit w:val="0"/>
      </w:trPr>
      <w:tcPr>
        <w:tcBorders>
          <w:top w:val="single" w:sz="4" w:space="0" w:color="auto"/>
          <w:bottom w:val="single" w:sz="4" w:space="0" w:color="auto"/>
        </w:tcBorders>
      </w:tcPr>
    </w:tblStylePr>
    <w:tblStylePr w:type="lastRow">
      <w:rPr>
        <w:rFonts w:ascii="Helvetica" w:hAnsi="Helvetica"/>
        <w:b w:val="0"/>
        <w:i w:val="0"/>
        <w:caps w:val="0"/>
        <w:smallCaps w:val="0"/>
        <w:strike w:val="0"/>
        <w:dstrike w:val="0"/>
        <w:vanish w:val="0"/>
        <w:color w:val="000000"/>
        <w:sz w:val="16"/>
        <w:szCs w:val="16"/>
        <w:vertAlign w:val="baseline"/>
      </w:rPr>
      <w:tblPr/>
      <w:trPr>
        <w:cantSplit w:val="0"/>
      </w:trPr>
    </w:tblStylePr>
    <w:tblStylePr w:type="firstCol">
      <w:pPr>
        <w:wordWrap/>
        <w:ind w:leftChars="0" w:left="-101"/>
      </w:pPr>
    </w:tblStylePr>
    <w:tblStylePr w:type="nwCell">
      <w:pPr>
        <w:wordWrap/>
        <w:ind w:leftChars="0" w:left="-101"/>
      </w:pPr>
    </w:tblStylePr>
  </w:style>
  <w:style w:type="paragraph" w:styleId="BalloonText">
    <w:name w:val="Balloon Text"/>
    <w:basedOn w:val="Normal"/>
    <w:semiHidden/>
    <w:rPr>
      <w:rFonts w:ascii="Tahoma" w:hAnsi="Tahoma" w:cs="Tahoma"/>
      <w:sz w:val="16"/>
      <w:szCs w:val="16"/>
    </w:rPr>
  </w:style>
  <w:style w:type="paragraph" w:customStyle="1" w:styleId="FigureTitle">
    <w:name w:val="Figure Title"/>
    <w:basedOn w:val="Heading2"/>
    <w:qFormat/>
    <w:rPr>
      <w:i w:val="0"/>
      <w:sz w:val="22"/>
    </w:rPr>
  </w:style>
  <w:style w:type="paragraph" w:customStyle="1" w:styleId="BulletPoints">
    <w:name w:val="Bullet Points"/>
    <w:basedOn w:val="Normal"/>
    <w:qFormat/>
    <w:rsid w:val="001C6D8D"/>
    <w:pPr>
      <w:numPr>
        <w:numId w:val="2"/>
      </w:numPr>
      <w:tabs>
        <w:tab w:val="left" w:pos="720"/>
      </w:tabs>
      <w:spacing w:after="120"/>
      <w:ind w:left="720"/>
    </w:pPr>
  </w:style>
  <w:style w:type="paragraph" w:customStyle="1" w:styleId="a">
    <w:name w:val="............"/>
    <w:basedOn w:val="Normal"/>
    <w:qFormat/>
    <w:rsid w:val="00F26379"/>
    <w:pPr>
      <w:jc w:val="center"/>
    </w:pPr>
    <w:rPr>
      <w:spacing w:val="240"/>
      <w:szCs w:val="22"/>
    </w:rPr>
  </w:style>
  <w:style w:type="paragraph" w:customStyle="1" w:styleId="Numbering">
    <w:name w:val="Numbering"/>
    <w:basedOn w:val="Normal"/>
    <w:link w:val="NumberingChar"/>
    <w:qFormat/>
    <w:pPr>
      <w:numPr>
        <w:numId w:val="1"/>
      </w:numPr>
      <w:tabs>
        <w:tab w:val="clear" w:pos="2160"/>
        <w:tab w:val="left" w:pos="360"/>
      </w:tabs>
      <w:ind w:left="360"/>
    </w:pPr>
  </w:style>
  <w:style w:type="paragraph" w:customStyle="1" w:styleId="CaseSubtitle">
    <w:name w:val="Case Subtitle"/>
    <w:basedOn w:val="CaseTitle"/>
    <w:link w:val="CaseSubtitleChar"/>
    <w:qFormat/>
    <w:rsid w:val="00580486"/>
    <w:rPr>
      <w:b w:val="0"/>
      <w:sz w:val="28"/>
      <w:szCs w:val="28"/>
    </w:rPr>
  </w:style>
  <w:style w:type="paragraph" w:customStyle="1" w:styleId="Numbering2">
    <w:name w:val="Numbering 2"/>
    <w:basedOn w:val="Numbering"/>
    <w:link w:val="Numbering2Char"/>
    <w:qFormat/>
    <w:rsid w:val="004A626E"/>
    <w:pPr>
      <w:numPr>
        <w:ilvl w:val="1"/>
      </w:numPr>
      <w:tabs>
        <w:tab w:val="clear" w:pos="2880"/>
        <w:tab w:val="num" w:pos="801"/>
      </w:tabs>
      <w:ind w:left="720"/>
    </w:pPr>
  </w:style>
  <w:style w:type="character" w:customStyle="1" w:styleId="Heading1Char">
    <w:name w:val="Heading 1 Char"/>
    <w:link w:val="Heading1"/>
    <w:rsid w:val="00EA689F"/>
    <w:rPr>
      <w:rFonts w:ascii="Arial" w:hAnsi="Arial"/>
      <w:b/>
      <w:sz w:val="28"/>
    </w:rPr>
  </w:style>
  <w:style w:type="character" w:customStyle="1" w:styleId="CaseTitleChar">
    <w:name w:val="Case Title Char"/>
    <w:link w:val="CaseTitle"/>
    <w:rsid w:val="00652769"/>
    <w:rPr>
      <w:rFonts w:ascii="Arial" w:hAnsi="Arial"/>
      <w:b/>
      <w:sz w:val="40"/>
      <w:szCs w:val="40"/>
    </w:rPr>
  </w:style>
  <w:style w:type="character" w:customStyle="1" w:styleId="CaseSubtitleChar">
    <w:name w:val="Case Subtitle Char"/>
    <w:link w:val="CaseSubtitle"/>
    <w:rsid w:val="00580486"/>
    <w:rPr>
      <w:rFonts w:ascii="Gill Sans MT" w:hAnsi="Gill Sans MT"/>
      <w:b w:val="0"/>
      <w:sz w:val="28"/>
      <w:szCs w:val="28"/>
    </w:rPr>
  </w:style>
  <w:style w:type="character" w:customStyle="1" w:styleId="TableBodyTextChar">
    <w:name w:val="Table Body Text Char"/>
    <w:link w:val="TableBodyText"/>
    <w:rsid w:val="00ED18B6"/>
    <w:rPr>
      <w:rFonts w:ascii="Arial" w:hAnsi="Arial"/>
      <w:sz w:val="16"/>
      <w:szCs w:val="16"/>
    </w:rPr>
  </w:style>
  <w:style w:type="character" w:customStyle="1" w:styleId="NumberingChar">
    <w:name w:val="Numbering Char"/>
    <w:link w:val="Numbering"/>
    <w:rsid w:val="00580486"/>
    <w:rPr>
      <w:rFonts w:ascii="Times New Roman" w:hAnsi="Times New Roman"/>
      <w:sz w:val="22"/>
    </w:rPr>
  </w:style>
  <w:style w:type="character" w:customStyle="1" w:styleId="Numbering2Char">
    <w:name w:val="Numbering 2 Char"/>
    <w:link w:val="Numbering2"/>
    <w:rsid w:val="004A626E"/>
    <w:rPr>
      <w:rFonts w:ascii="Times New Roman" w:hAnsi="Times New Roman"/>
      <w:sz w:val="22"/>
    </w:rPr>
  </w:style>
  <w:style w:type="character" w:customStyle="1" w:styleId="InsetQuoteAttributionChar">
    <w:name w:val="Inset Quote Attribution Char"/>
    <w:link w:val="InsetQuoteAttribution"/>
    <w:rsid w:val="00C13852"/>
    <w:rPr>
      <w:rFonts w:ascii="Times New Roman" w:eastAsia="Times" w:hAnsi="Times New Roman"/>
      <w:i w:val="0"/>
      <w:lang w:val="en-US" w:eastAsia="en-US" w:bidi="ar-SA"/>
    </w:rPr>
  </w:style>
  <w:style w:type="paragraph" w:customStyle="1" w:styleId="Author">
    <w:name w:val="Author"/>
    <w:basedOn w:val="Normal"/>
    <w:link w:val="AuthorChar"/>
    <w:qFormat/>
    <w:rsid w:val="00EA689F"/>
    <w:pPr>
      <w:spacing w:before="1680" w:after="0" w:line="240" w:lineRule="auto"/>
      <w:ind w:firstLine="0"/>
      <w:jc w:val="left"/>
    </w:pPr>
    <w:rPr>
      <w:caps/>
      <w:sz w:val="16"/>
      <w:szCs w:val="16"/>
    </w:rPr>
  </w:style>
  <w:style w:type="character" w:customStyle="1" w:styleId="AuthorChar">
    <w:name w:val="Author Char"/>
    <w:link w:val="Author"/>
    <w:rsid w:val="00EA689F"/>
    <w:rPr>
      <w:rFonts w:ascii="Times New Roman" w:hAnsi="Times New Roman"/>
      <w:caps/>
      <w:sz w:val="16"/>
      <w:szCs w:val="16"/>
    </w:rPr>
  </w:style>
  <w:style w:type="paragraph" w:customStyle="1" w:styleId="CaseNumber0">
    <w:name w:val="Case Number"/>
    <w:basedOn w:val="Author"/>
    <w:link w:val="CaseNumberChar"/>
    <w:qFormat/>
    <w:rsid w:val="00652769"/>
    <w:pPr>
      <w:tabs>
        <w:tab w:val="right" w:pos="8640"/>
      </w:tabs>
    </w:pPr>
    <w:rPr>
      <w:b/>
      <w:sz w:val="18"/>
      <w:szCs w:val="18"/>
    </w:rPr>
  </w:style>
  <w:style w:type="character" w:customStyle="1" w:styleId="CaseNumberChar">
    <w:name w:val="Case Number Char"/>
    <w:link w:val="CaseNumber0"/>
    <w:rsid w:val="00652769"/>
    <w:rPr>
      <w:rFonts w:ascii="Times New Roman" w:hAnsi="Times New Roman"/>
      <w:b/>
      <w:smallCaps/>
      <w:sz w:val="18"/>
      <w:szCs w:val="18"/>
    </w:rPr>
  </w:style>
  <w:style w:type="paragraph" w:styleId="NoSpacing">
    <w:name w:val="No Spacing"/>
    <w:uiPriority w:val="1"/>
    <w:qFormat/>
    <w:rsid w:val="00FA4D0D"/>
    <w:rPr>
      <w:rFonts w:asciiTheme="minorHAnsi" w:eastAsiaTheme="minorEastAsia" w:hAnsiTheme="minorHAnsi" w:cstheme="minorBidi"/>
      <w:sz w:val="22"/>
      <w:szCs w:val="22"/>
      <w:lang w:eastAsia="zh-TW"/>
    </w:rPr>
  </w:style>
  <w:style w:type="paragraph" w:styleId="ListParagraph">
    <w:name w:val="List Paragraph"/>
    <w:basedOn w:val="Normal"/>
    <w:uiPriority w:val="34"/>
    <w:qFormat/>
    <w:rsid w:val="00FA4D0D"/>
    <w:pPr>
      <w:spacing w:after="200" w:line="276" w:lineRule="auto"/>
      <w:ind w:left="720" w:firstLine="0"/>
      <w:contextualSpacing/>
      <w:jc w:val="left"/>
    </w:pPr>
    <w:rPr>
      <w:rFonts w:asciiTheme="minorHAnsi" w:eastAsiaTheme="minorEastAsia" w:hAnsiTheme="minorHAnsi" w:cstheme="minorBidi"/>
      <w:szCs w:val="22"/>
      <w:lang w:eastAsia="zh-TW"/>
    </w:rPr>
  </w:style>
  <w:style w:type="paragraph" w:styleId="CommentSubject">
    <w:name w:val="annotation subject"/>
    <w:basedOn w:val="CommentText"/>
    <w:next w:val="CommentText"/>
    <w:link w:val="CommentSubjectChar"/>
    <w:rsid w:val="00572EE4"/>
    <w:pPr>
      <w:spacing w:line="240" w:lineRule="auto"/>
    </w:pPr>
    <w:rPr>
      <w:rFonts w:eastAsia="Times"/>
      <w:b/>
      <w:bCs/>
    </w:rPr>
  </w:style>
  <w:style w:type="character" w:customStyle="1" w:styleId="CommentTextChar">
    <w:name w:val="Comment Text Char"/>
    <w:basedOn w:val="DefaultParagraphFont"/>
    <w:link w:val="CommentText"/>
    <w:semiHidden/>
    <w:rsid w:val="00572EE4"/>
    <w:rPr>
      <w:rFonts w:ascii="Times New Roman" w:eastAsia="Times New Roman" w:hAnsi="Times New Roman"/>
    </w:rPr>
  </w:style>
  <w:style w:type="character" w:customStyle="1" w:styleId="CommentSubjectChar">
    <w:name w:val="Comment Subject Char"/>
    <w:basedOn w:val="CommentTextChar"/>
    <w:link w:val="CommentSubject"/>
    <w:rsid w:val="00572EE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51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635A5-8AC0-49EF-B020-35EEFE5A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6</Pages>
  <Words>2020</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AUTHOR</vt:lpstr>
    </vt:vector>
  </TitlesOfParts>
  <Company>Kellogg School of Management</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dc:title>
  <dc:creator>Cecelia Ungari</dc:creator>
  <cp:lastModifiedBy>Mirano, Ronel</cp:lastModifiedBy>
  <cp:revision>25</cp:revision>
  <cp:lastPrinted>2013-04-19T19:07:00Z</cp:lastPrinted>
  <dcterms:created xsi:type="dcterms:W3CDTF">2013-02-26T17:46:00Z</dcterms:created>
  <dcterms:modified xsi:type="dcterms:W3CDTF">2017-11-06T07:56:00Z</dcterms:modified>
</cp:coreProperties>
</file>